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9" w:rsidRPr="00D93D7D" w:rsidRDefault="00F92499" w:rsidP="00F92499">
      <w:pPr>
        <w:jc w:val="center"/>
        <w:rPr>
          <w:b/>
        </w:rPr>
      </w:pPr>
      <w:bookmarkStart w:id="0" w:name="_GoBack"/>
      <w:bookmarkEnd w:id="0"/>
      <w:r w:rsidRPr="00F92499">
        <w:rPr>
          <w:b/>
        </w:rPr>
        <w:t>Комментарий к постановлению Министерства по налогам и сборам Республики Беларусь от 25.03.2022 № 12 «Об изменении постановления Министерства по налогам и сборам Республики Беларусь от 30 января 2019 г. № 5»</w:t>
      </w:r>
    </w:p>
    <w:p w:rsidR="00F92499" w:rsidRPr="00D93D7D" w:rsidRDefault="00F92499"/>
    <w:p w:rsidR="00F92499" w:rsidRDefault="00F92499" w:rsidP="00F92499">
      <w:pPr>
        <w:ind w:firstLine="567"/>
        <w:jc w:val="both"/>
      </w:pPr>
      <w:r>
        <w:t xml:space="preserve">В связи с вступившими в силу с 1 января 2022 г. изменениями налогового законодательства, содержащимися в Законе Республики Беларусь от 31.12.2021 № 141-З «Об изменении законов по вопросам налогообложения» постановлением Министерства по налогам и сборам Республики Беларусь от 25 марта 2022 г. № 12 «Об изменении постановления Министерства по налогам и сборам Республики Беларусь от 30 января 2019 г. № 5» (далее – постановление № 12, постановление № 5) приводится в соответствие с указанным законом </w:t>
      </w:r>
      <w:r w:rsidRPr="00D86736">
        <w:rPr>
          <w:b/>
        </w:rPr>
        <w:t>порядок ведения учета индивидуальными предпринимателями, нотариусами, осуществляющими нотариальную деятельность в нотариальном бюро</w:t>
      </w:r>
      <w:r>
        <w:t xml:space="preserve"> (далее – индивидуальные предприниматели), определенный в Инструкции о порядке ведения учета доходов и расходов, утвержденной постановлением № 5 (далее – Инструкция), а также с учетом практики применения вносятся корректировки и правки в отдельные положения Инструкции. </w:t>
      </w:r>
    </w:p>
    <w:p w:rsidR="00F92499" w:rsidRDefault="00F92499" w:rsidP="00F92499">
      <w:pPr>
        <w:ind w:firstLine="567"/>
        <w:jc w:val="both"/>
      </w:pPr>
      <w:r>
        <w:t xml:space="preserve">В целях ведения индивидуальными предпринимателями учета выплаченных доходов и перечисленных в бюджет сумм подоходного налога с физических лиц приложение 10 к Инструкции исключено, и </w:t>
      </w:r>
      <w:r w:rsidRPr="00E33A8E">
        <w:rPr>
          <w:b/>
        </w:rPr>
        <w:t>вместо карточки лицевого счета введена книга учета обязательств налоговым агентом</w:t>
      </w:r>
      <w:r>
        <w:t xml:space="preserve">. В этой связи Инструкция дополнена приложением 12 и главой 10 «Учет обязательств налоговым агентом», в которой определен порядок заполнения указанной книги. </w:t>
      </w:r>
    </w:p>
    <w:p w:rsidR="00F92499" w:rsidRDefault="00F92499" w:rsidP="00F92499">
      <w:pPr>
        <w:ind w:firstLine="567"/>
        <w:jc w:val="both"/>
      </w:pPr>
      <w:r>
        <w:t xml:space="preserve">Необходимость ведения такого учета обусловлена введением с 1 января 2022 г. обязанности для всех индивидуальных предпринимателей, выплачивающих доходы физическим лицам, </w:t>
      </w:r>
      <w:r w:rsidRPr="00E33A8E">
        <w:rPr>
          <w:b/>
        </w:rPr>
        <w:t xml:space="preserve">ежеквартально представлять налоговую декларацию (расчет) налогового агента по подоходному налогу с физических лиц </w:t>
      </w:r>
      <w:r>
        <w:t xml:space="preserve">с отражением в этой налоговой декларации сумм подоходного налога с физических лиц, подлежащих перечислению в бюджет с фактически выплаченных доходов в течение первого, второго и третьего месяца отчетного квартала. </w:t>
      </w:r>
    </w:p>
    <w:p w:rsidR="00F92499" w:rsidRDefault="00F92499" w:rsidP="00F92499">
      <w:pPr>
        <w:ind w:firstLine="567"/>
        <w:jc w:val="both"/>
      </w:pPr>
      <w:r>
        <w:t xml:space="preserve">Инструкция дополнена пунктом 101, в котором закреплена обязанность плательщиков </w:t>
      </w:r>
      <w:r w:rsidRPr="00E33A8E">
        <w:rPr>
          <w:b/>
        </w:rPr>
        <w:t>использовать товарно-транспортные и (или) товарные накладные</w:t>
      </w:r>
      <w:r>
        <w:t xml:space="preserve">, создаваемые в виде электронных документов в случаях, установленных пунктом 3 Положения о маркировке товаров средствами идентификации, утвержденного Указом Президента Республики Беларусь от 10.06.2011 № 243 «О маркировке товаров», и (или) пунктом 14 Положения о функционировании системы </w:t>
      </w:r>
      <w:proofErr w:type="spellStart"/>
      <w:r>
        <w:t>прослеживаемости</w:t>
      </w:r>
      <w:proofErr w:type="spellEnd"/>
      <w:r>
        <w:t xml:space="preserve"> товаров, утвержденного Указом Президента Республики Беларусь от 29.12.2020 № 496 «О </w:t>
      </w:r>
      <w:proofErr w:type="spellStart"/>
      <w:r>
        <w:t>прослеживаемости</w:t>
      </w:r>
      <w:proofErr w:type="spellEnd"/>
      <w:r>
        <w:t xml:space="preserve"> товаров». </w:t>
      </w:r>
    </w:p>
    <w:p w:rsidR="00F92499" w:rsidRDefault="00F92499" w:rsidP="00F92499">
      <w:pPr>
        <w:ind w:firstLine="567"/>
        <w:jc w:val="both"/>
      </w:pPr>
      <w:r>
        <w:t xml:space="preserve">В целях определения </w:t>
      </w:r>
      <w:r w:rsidRPr="00E33A8E">
        <w:rPr>
          <w:b/>
        </w:rPr>
        <w:t>точности, с которой в учетных документах отражается стоимость единицы товаров</w:t>
      </w:r>
      <w:r>
        <w:t xml:space="preserve"> (сырья, материалов), приобретенных за иностранную валюту, пункт 15 Инструкции дополнен соответствующими нормами. </w:t>
      </w:r>
    </w:p>
    <w:p w:rsidR="00F92499" w:rsidRDefault="00F92499" w:rsidP="00F92499">
      <w:pPr>
        <w:ind w:firstLine="567"/>
        <w:jc w:val="both"/>
      </w:pPr>
      <w:r>
        <w:t xml:space="preserve">В целях приведения положений Инструкции в соответствие с пунктом 14 статьи 205 Налогового кодекса Республики Беларусь часть четвертая пункта 24 Инструкции изложена в новой редакции. </w:t>
      </w:r>
    </w:p>
    <w:p w:rsidR="00F92499" w:rsidRPr="00E33A8E" w:rsidRDefault="00F92499" w:rsidP="00F92499">
      <w:pPr>
        <w:ind w:firstLine="567"/>
        <w:jc w:val="both"/>
        <w:rPr>
          <w:b/>
        </w:rPr>
      </w:pPr>
      <w:r>
        <w:t xml:space="preserve">В отношении основных средств, используемых индивидуальным предпринимателем в период применения особого режима налогообложения (упрощенная система налогообложения или уплата единого налога с индивидуальных предпринимателей и иных физических лиц), не предусматривающего начисление амортизации основных средств, в пункте 26 Инструкции </w:t>
      </w:r>
      <w:r w:rsidRPr="00E33A8E">
        <w:rPr>
          <w:b/>
        </w:rPr>
        <w:t xml:space="preserve">закреплен порядок определения стоимости объектов основных средств при переходе такого индивидуального предпринимателя на общий порядок налогообложения. </w:t>
      </w:r>
    </w:p>
    <w:p w:rsidR="00F92499" w:rsidRDefault="00F92499" w:rsidP="00F92499">
      <w:pPr>
        <w:ind w:firstLine="567"/>
        <w:jc w:val="both"/>
      </w:pPr>
      <w:r>
        <w:t xml:space="preserve">В целях упрощения порядка учета из пункта 43.3 пункта 43 Инструкции </w:t>
      </w:r>
      <w:r w:rsidRPr="00E33A8E">
        <w:rPr>
          <w:b/>
        </w:rPr>
        <w:t>исключен строительный механизированный инструмент,</w:t>
      </w:r>
      <w:r>
        <w:t xml:space="preserve"> то есть такой инструмент на основании </w:t>
      </w:r>
      <w:r>
        <w:lastRenderedPageBreak/>
        <w:t xml:space="preserve">принятого решения индивидуальный предприниматель вправе отнести к отдельным предметам в составе оборотных средств. </w:t>
      </w:r>
    </w:p>
    <w:p w:rsidR="002A15B8" w:rsidRPr="0056678A" w:rsidRDefault="00F92499" w:rsidP="00F92499">
      <w:pPr>
        <w:ind w:firstLine="567"/>
        <w:jc w:val="both"/>
        <w:rPr>
          <w:b/>
        </w:rPr>
      </w:pPr>
      <w:r>
        <w:t xml:space="preserve">В целях упрощения порядка учета реализации товаров, осуществляемого в суммовом выражении, пункт 70 Инструкции дополнен нормами, позволяющими индивидуальным предпринимателям (по их выбору) </w:t>
      </w:r>
      <w:r w:rsidRPr="0056678A">
        <w:rPr>
          <w:b/>
        </w:rPr>
        <w:t xml:space="preserve">осуществлять учет стоимости товаров в ценах реализации, реализованных (отгруженных) в течение квартала, по итогам хозяйственных операций, совершенных за день либо за месяц. </w:t>
      </w:r>
    </w:p>
    <w:p w:rsidR="002A15B8" w:rsidRDefault="00F92499" w:rsidP="00F92499">
      <w:pPr>
        <w:ind w:firstLine="567"/>
        <w:jc w:val="both"/>
      </w:pPr>
      <w:r>
        <w:t xml:space="preserve">Также в целях упрощения порядка учета предоставляется право индивидуальным предпринимателям, реализующим работы (услуги) по заказам граждан, приобретающих или использующих услуги исключительно для личных, бытовых, семейных и иных нужд, не связанных с осуществлением предпринимательской деятельности (потребителей), а также индивидуальным предпринимателям, осуществляющим реализацию товаров и определяющим расходы по нормативу, </w:t>
      </w:r>
      <w:r w:rsidRPr="0056678A">
        <w:rPr>
          <w:b/>
        </w:rPr>
        <w:t>отражать доходы от реализации таких товаров, работ (услуг) по итогам хозяйственных операций, совершенных за день либо за месяц.</w:t>
      </w:r>
      <w:r>
        <w:t xml:space="preserve"> В этой связи пункт 87 Инструкции дополнен соответствующей нормой. </w:t>
      </w:r>
    </w:p>
    <w:p w:rsidR="002A15B8" w:rsidRDefault="00F92499" w:rsidP="00F92499">
      <w:pPr>
        <w:ind w:firstLine="567"/>
        <w:jc w:val="both"/>
      </w:pPr>
      <w:r>
        <w:t xml:space="preserve">Кроме того с учетом практики применения вносятся редакционные корректировки и правки в следующие положения Инструкции: пункты 7, 11, 21, 54, 68, 71, 77, 83, 89, приложение 1 к Инструкции. </w:t>
      </w:r>
    </w:p>
    <w:p w:rsidR="00F92499" w:rsidRDefault="00F92499" w:rsidP="00F92499">
      <w:pPr>
        <w:ind w:firstLine="567"/>
        <w:jc w:val="both"/>
      </w:pPr>
      <w:r>
        <w:t xml:space="preserve">Постановление № 12 вступило в силу 13 апреля 2022 г. </w:t>
      </w:r>
    </w:p>
    <w:p w:rsidR="00F92499" w:rsidRDefault="00F92499" w:rsidP="00F92499">
      <w:pPr>
        <w:jc w:val="both"/>
      </w:pPr>
    </w:p>
    <w:p w:rsidR="00F92499" w:rsidRDefault="00F92499" w:rsidP="00F92499">
      <w:pPr>
        <w:jc w:val="right"/>
        <w:rPr>
          <w:i/>
        </w:rPr>
      </w:pPr>
      <w:r w:rsidRPr="00F92499">
        <w:rPr>
          <w:i/>
        </w:rPr>
        <w:t xml:space="preserve">Главное управление </w:t>
      </w:r>
    </w:p>
    <w:p w:rsidR="00F92499" w:rsidRPr="00F92499" w:rsidRDefault="00F92499" w:rsidP="00F92499">
      <w:pPr>
        <w:jc w:val="right"/>
        <w:rPr>
          <w:i/>
        </w:rPr>
      </w:pPr>
      <w:r w:rsidRPr="00F92499">
        <w:rPr>
          <w:i/>
        </w:rPr>
        <w:t>налогообложения физических лиц МНС</w:t>
      </w:r>
    </w:p>
    <w:sectPr w:rsidR="00F92499" w:rsidRPr="00F924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9B" w:rsidRDefault="00477F9B" w:rsidP="002A15B8">
      <w:r>
        <w:separator/>
      </w:r>
    </w:p>
  </w:endnote>
  <w:endnote w:type="continuationSeparator" w:id="0">
    <w:p w:rsidR="00477F9B" w:rsidRDefault="00477F9B" w:rsidP="002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916007"/>
      <w:docPartObj>
        <w:docPartGallery w:val="Page Numbers (Bottom of Page)"/>
        <w:docPartUnique/>
      </w:docPartObj>
    </w:sdtPr>
    <w:sdtEndPr/>
    <w:sdtContent>
      <w:p w:rsidR="002A15B8" w:rsidRDefault="002A15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D1">
          <w:rPr>
            <w:noProof/>
          </w:rPr>
          <w:t>2</w:t>
        </w:r>
        <w:r>
          <w:fldChar w:fldCharType="end"/>
        </w:r>
      </w:p>
    </w:sdtContent>
  </w:sdt>
  <w:p w:rsidR="002A15B8" w:rsidRDefault="002A15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9B" w:rsidRDefault="00477F9B" w:rsidP="002A15B8">
      <w:r>
        <w:separator/>
      </w:r>
    </w:p>
  </w:footnote>
  <w:footnote w:type="continuationSeparator" w:id="0">
    <w:p w:rsidR="00477F9B" w:rsidRDefault="00477F9B" w:rsidP="002A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99"/>
    <w:rsid w:val="00101C92"/>
    <w:rsid w:val="001963D1"/>
    <w:rsid w:val="002A15B8"/>
    <w:rsid w:val="00477F9B"/>
    <w:rsid w:val="00543626"/>
    <w:rsid w:val="0056678A"/>
    <w:rsid w:val="00D86736"/>
    <w:rsid w:val="00D93D7D"/>
    <w:rsid w:val="00E33A8E"/>
    <w:rsid w:val="00E46310"/>
    <w:rsid w:val="00F9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5B8"/>
  </w:style>
  <w:style w:type="paragraph" w:styleId="a5">
    <w:name w:val="footer"/>
    <w:basedOn w:val="a"/>
    <w:link w:val="a6"/>
    <w:uiPriority w:val="99"/>
    <w:unhideWhenUsed/>
    <w:rsid w:val="002A1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5B8"/>
  </w:style>
  <w:style w:type="paragraph" w:styleId="a5">
    <w:name w:val="footer"/>
    <w:basedOn w:val="a"/>
    <w:link w:val="a6"/>
    <w:uiPriority w:val="99"/>
    <w:unhideWhenUsed/>
    <w:rsid w:val="002A1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</dc:creator>
  <cp:lastModifiedBy>Neg</cp:lastModifiedBy>
  <cp:revision>3</cp:revision>
  <dcterms:created xsi:type="dcterms:W3CDTF">2022-04-19T09:05:00Z</dcterms:created>
  <dcterms:modified xsi:type="dcterms:W3CDTF">2022-04-19T13:34:00Z</dcterms:modified>
</cp:coreProperties>
</file>