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035"/>
        <w:gridCol w:w="1550"/>
        <w:gridCol w:w="3946"/>
      </w:tblGrid>
      <w:tr w:rsidR="00AD331E" w:rsidTr="00AD331E">
        <w:tc>
          <w:tcPr>
            <w:tcW w:w="4100" w:type="dxa"/>
          </w:tcPr>
          <w:p w:rsidR="00AD331E" w:rsidRPr="00184E19" w:rsidRDefault="00AD331E" w:rsidP="00AD331E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184E19">
              <w:rPr>
                <w:b/>
                <w:sz w:val="26"/>
                <w:szCs w:val="26"/>
              </w:rPr>
              <w:t>М</w:t>
            </w:r>
            <w:r w:rsidRPr="00184E19">
              <w:rPr>
                <w:b/>
                <w:sz w:val="26"/>
                <w:szCs w:val="26"/>
                <w:lang w:val="en-US"/>
              </w:rPr>
              <w:t>I</w:t>
            </w:r>
            <w:r w:rsidRPr="00184E19">
              <w:rPr>
                <w:b/>
                <w:sz w:val="26"/>
                <w:szCs w:val="26"/>
              </w:rPr>
              <w:t>Н</w:t>
            </w:r>
            <w:r w:rsidRPr="00184E19">
              <w:rPr>
                <w:b/>
                <w:sz w:val="26"/>
                <w:szCs w:val="26"/>
                <w:lang w:val="en-US"/>
              </w:rPr>
              <w:t>I</w:t>
            </w:r>
            <w:r w:rsidRPr="00184E19">
              <w:rPr>
                <w:b/>
                <w:sz w:val="26"/>
                <w:szCs w:val="26"/>
              </w:rPr>
              <w:t>СТЭРСТВА</w:t>
            </w:r>
          </w:p>
          <w:p w:rsidR="00AD331E" w:rsidRPr="00184E19" w:rsidRDefault="00AD331E" w:rsidP="00AD331E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184E19">
              <w:rPr>
                <w:b/>
                <w:sz w:val="26"/>
                <w:szCs w:val="26"/>
              </w:rPr>
              <w:t xml:space="preserve">ПА ПАДАТКАХ </w:t>
            </w:r>
            <w:r w:rsidRPr="00184E19">
              <w:rPr>
                <w:b/>
                <w:sz w:val="26"/>
                <w:szCs w:val="26"/>
                <w:lang w:val="en-US"/>
              </w:rPr>
              <w:t>I</w:t>
            </w:r>
            <w:r w:rsidRPr="00184E19">
              <w:rPr>
                <w:b/>
                <w:sz w:val="26"/>
                <w:szCs w:val="26"/>
              </w:rPr>
              <w:t xml:space="preserve"> ЗБОРАХ</w:t>
            </w:r>
          </w:p>
          <w:p w:rsidR="00AD331E" w:rsidRPr="00184E19" w:rsidRDefault="00AD331E" w:rsidP="00AD331E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184E19">
              <w:rPr>
                <w:b/>
                <w:sz w:val="26"/>
                <w:szCs w:val="26"/>
              </w:rPr>
              <w:t>РЭСПУБЛ</w:t>
            </w:r>
            <w:r w:rsidRPr="00184E19">
              <w:rPr>
                <w:b/>
                <w:sz w:val="26"/>
                <w:szCs w:val="26"/>
                <w:lang w:val="en-US"/>
              </w:rPr>
              <w:t>I</w:t>
            </w:r>
            <w:r w:rsidRPr="00184E19">
              <w:rPr>
                <w:b/>
                <w:sz w:val="26"/>
                <w:szCs w:val="26"/>
              </w:rPr>
              <w:t>К</w:t>
            </w:r>
            <w:r w:rsidRPr="00184E19">
              <w:rPr>
                <w:b/>
                <w:sz w:val="26"/>
                <w:szCs w:val="26"/>
                <w:lang w:val="en-US"/>
              </w:rPr>
              <w:t>I</w:t>
            </w:r>
            <w:r w:rsidRPr="00184E19">
              <w:rPr>
                <w:b/>
                <w:sz w:val="26"/>
                <w:szCs w:val="26"/>
              </w:rPr>
              <w:t xml:space="preserve"> БЕЛАРУСЬ</w:t>
            </w:r>
          </w:p>
          <w:p w:rsidR="00AD331E" w:rsidRPr="00184E19" w:rsidRDefault="00AD331E" w:rsidP="00AD331E">
            <w:pPr>
              <w:jc w:val="center"/>
              <w:rPr>
                <w:sz w:val="18"/>
                <w:szCs w:val="18"/>
              </w:rPr>
            </w:pPr>
            <w:proofErr w:type="spellStart"/>
            <w:r w:rsidRPr="00184E19">
              <w:rPr>
                <w:sz w:val="18"/>
                <w:szCs w:val="18"/>
              </w:rPr>
              <w:t>вул</w:t>
            </w:r>
            <w:proofErr w:type="spellEnd"/>
            <w:r w:rsidRPr="00184E19">
              <w:rPr>
                <w:sz w:val="18"/>
                <w:szCs w:val="18"/>
              </w:rPr>
              <w:t xml:space="preserve">. </w:t>
            </w:r>
            <w:proofErr w:type="spellStart"/>
            <w:r w:rsidRPr="00184E19">
              <w:rPr>
                <w:sz w:val="18"/>
                <w:szCs w:val="18"/>
              </w:rPr>
              <w:t>Савецкая</w:t>
            </w:r>
            <w:proofErr w:type="spellEnd"/>
            <w:r w:rsidRPr="00184E19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184E19">
                <w:rPr>
                  <w:sz w:val="18"/>
                  <w:szCs w:val="18"/>
                </w:rPr>
                <w:t>220010, г</w:t>
              </w:r>
            </w:smartTag>
            <w:r w:rsidRPr="00184E19">
              <w:rPr>
                <w:sz w:val="18"/>
                <w:szCs w:val="18"/>
              </w:rPr>
              <w:t>. М</w:t>
            </w:r>
            <w:proofErr w:type="spellStart"/>
            <w:r w:rsidRPr="00184E19">
              <w:rPr>
                <w:sz w:val="18"/>
                <w:szCs w:val="18"/>
                <w:lang w:val="en-US"/>
              </w:rPr>
              <w:t>i</w:t>
            </w:r>
            <w:r w:rsidRPr="00184E19">
              <w:rPr>
                <w:sz w:val="18"/>
                <w:szCs w:val="18"/>
              </w:rPr>
              <w:t>нск</w:t>
            </w:r>
            <w:proofErr w:type="spellEnd"/>
          </w:p>
          <w:p w:rsidR="00AD331E" w:rsidRPr="00184E19" w:rsidRDefault="00AD331E" w:rsidP="00AD331E">
            <w:pPr>
              <w:jc w:val="center"/>
              <w:rPr>
                <w:sz w:val="18"/>
                <w:szCs w:val="18"/>
              </w:rPr>
            </w:pPr>
            <w:proofErr w:type="spellStart"/>
            <w:r w:rsidRPr="00184E19"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184E19">
              <w:rPr>
                <w:sz w:val="18"/>
                <w:szCs w:val="18"/>
              </w:rPr>
              <w:t>@</w:t>
            </w:r>
            <w:r w:rsidRPr="00184E19">
              <w:rPr>
                <w:sz w:val="18"/>
                <w:szCs w:val="18"/>
                <w:lang w:val="en-US"/>
              </w:rPr>
              <w:t>mail</w:t>
            </w:r>
            <w:r w:rsidRPr="00184E19">
              <w:rPr>
                <w:sz w:val="18"/>
                <w:szCs w:val="18"/>
              </w:rPr>
              <w:t>.</w:t>
            </w:r>
            <w:proofErr w:type="spellStart"/>
            <w:r w:rsidRPr="00184E19"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184E19">
              <w:rPr>
                <w:sz w:val="18"/>
                <w:szCs w:val="18"/>
              </w:rPr>
              <w:t>.</w:t>
            </w:r>
            <w:r w:rsidRPr="00184E19">
              <w:rPr>
                <w:sz w:val="18"/>
                <w:szCs w:val="18"/>
                <w:lang w:val="en-US"/>
              </w:rPr>
              <w:t>by</w:t>
            </w:r>
          </w:p>
          <w:p w:rsidR="00AD331E" w:rsidRPr="00AA7A49" w:rsidRDefault="00AD331E" w:rsidP="00AD331E">
            <w:pPr>
              <w:jc w:val="center"/>
            </w:pPr>
            <w:proofErr w:type="spellStart"/>
            <w:r w:rsidRPr="00184E19">
              <w:rPr>
                <w:sz w:val="18"/>
                <w:szCs w:val="18"/>
              </w:rPr>
              <w:t>тэл</w:t>
            </w:r>
            <w:proofErr w:type="spellEnd"/>
            <w:r w:rsidRPr="00184E19">
              <w:rPr>
                <w:sz w:val="18"/>
                <w:szCs w:val="18"/>
              </w:rPr>
              <w:t>. 8 (017) 229 79 12, 229 79 13, факс 222 66 87</w:t>
            </w:r>
          </w:p>
        </w:tc>
        <w:tc>
          <w:tcPr>
            <w:tcW w:w="1600" w:type="dxa"/>
          </w:tcPr>
          <w:p w:rsidR="00AD331E" w:rsidRDefault="00AD331E" w:rsidP="00AD331E">
            <w:pPr>
              <w:ind w:left="-108" w:right="-108"/>
              <w:jc w:val="both"/>
            </w:pPr>
          </w:p>
        </w:tc>
        <w:tc>
          <w:tcPr>
            <w:tcW w:w="4000" w:type="dxa"/>
          </w:tcPr>
          <w:p w:rsidR="00AD331E" w:rsidRPr="00184E19" w:rsidRDefault="00AD331E" w:rsidP="00AD331E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184E19">
              <w:rPr>
                <w:b/>
                <w:sz w:val="26"/>
                <w:szCs w:val="26"/>
              </w:rPr>
              <w:t>МИНИСТЕРСТВО</w:t>
            </w:r>
          </w:p>
          <w:p w:rsidR="00AD331E" w:rsidRPr="00184E19" w:rsidRDefault="00AD331E" w:rsidP="00AD331E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184E19">
              <w:rPr>
                <w:b/>
                <w:sz w:val="26"/>
                <w:szCs w:val="26"/>
              </w:rPr>
              <w:t>ПО НАЛОГАМ И СБОРАМ</w:t>
            </w:r>
          </w:p>
          <w:p w:rsidR="00AD331E" w:rsidRPr="00184E19" w:rsidRDefault="00AD331E" w:rsidP="00AD331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184E19">
              <w:rPr>
                <w:b/>
                <w:sz w:val="26"/>
                <w:szCs w:val="26"/>
              </w:rPr>
              <w:t>РЕСПУБЛИКИ БЕЛАРУСЬ</w:t>
            </w:r>
          </w:p>
          <w:p w:rsidR="00AD331E" w:rsidRPr="00184E19" w:rsidRDefault="00AD331E" w:rsidP="00AD331E">
            <w:pPr>
              <w:jc w:val="center"/>
              <w:rPr>
                <w:sz w:val="18"/>
                <w:szCs w:val="18"/>
              </w:rPr>
            </w:pPr>
            <w:r w:rsidRPr="00184E19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184E19">
                <w:rPr>
                  <w:sz w:val="18"/>
                  <w:szCs w:val="18"/>
                </w:rPr>
                <w:t>220010, г</w:t>
              </w:r>
            </w:smartTag>
            <w:r w:rsidRPr="00184E19">
              <w:rPr>
                <w:sz w:val="18"/>
                <w:szCs w:val="18"/>
              </w:rPr>
              <w:t>. Минск</w:t>
            </w:r>
          </w:p>
          <w:p w:rsidR="00AD331E" w:rsidRPr="00BC425E" w:rsidRDefault="00AD331E" w:rsidP="00AD331E">
            <w:pPr>
              <w:jc w:val="center"/>
              <w:rPr>
                <w:sz w:val="18"/>
                <w:szCs w:val="18"/>
              </w:rPr>
            </w:pPr>
            <w:proofErr w:type="spellStart"/>
            <w:r w:rsidRPr="00184E19"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BC425E">
              <w:rPr>
                <w:sz w:val="18"/>
                <w:szCs w:val="18"/>
              </w:rPr>
              <w:t>@</w:t>
            </w:r>
            <w:r w:rsidRPr="00184E19">
              <w:rPr>
                <w:sz w:val="18"/>
                <w:szCs w:val="18"/>
                <w:lang w:val="en-US"/>
              </w:rPr>
              <w:t>mail</w:t>
            </w:r>
            <w:r w:rsidRPr="00BC425E">
              <w:rPr>
                <w:sz w:val="18"/>
                <w:szCs w:val="18"/>
              </w:rPr>
              <w:t>.</w:t>
            </w:r>
            <w:proofErr w:type="spellStart"/>
            <w:r w:rsidRPr="00184E19"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BC425E">
              <w:rPr>
                <w:sz w:val="18"/>
                <w:szCs w:val="18"/>
              </w:rPr>
              <w:t>.</w:t>
            </w:r>
            <w:r w:rsidRPr="00184E19">
              <w:rPr>
                <w:sz w:val="18"/>
                <w:szCs w:val="18"/>
                <w:lang w:val="en-US"/>
              </w:rPr>
              <w:t>by</w:t>
            </w:r>
          </w:p>
          <w:p w:rsidR="00AD331E" w:rsidRDefault="00AD331E" w:rsidP="00AD331E">
            <w:pPr>
              <w:jc w:val="center"/>
            </w:pPr>
            <w:r w:rsidRPr="00184E19">
              <w:rPr>
                <w:sz w:val="18"/>
                <w:szCs w:val="18"/>
              </w:rPr>
              <w:t>тел. 8 (017) 229 79 12, 229 79 13, факс 222 66 87</w:t>
            </w:r>
          </w:p>
        </w:tc>
      </w:tr>
    </w:tbl>
    <w:p w:rsidR="00AD331E" w:rsidRDefault="00AD331E" w:rsidP="00AD331E">
      <w:pPr>
        <w:tabs>
          <w:tab w:val="left" w:pos="4500"/>
        </w:tabs>
        <w:jc w:val="both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1"/>
        <w:gridCol w:w="5238"/>
      </w:tblGrid>
      <w:tr w:rsidR="00AD331E" w:rsidRPr="002C292A" w:rsidTr="00AD331E">
        <w:tc>
          <w:tcPr>
            <w:tcW w:w="4503" w:type="dxa"/>
          </w:tcPr>
          <w:p w:rsidR="00AD331E" w:rsidRDefault="00AD331E" w:rsidP="00AD331E">
            <w:pPr>
              <w:pStyle w:val="a9"/>
              <w:tabs>
                <w:tab w:val="left" w:pos="4536"/>
                <w:tab w:val="left" w:pos="4820"/>
              </w:tabs>
              <w:spacing w:after="0" w:line="280" w:lineRule="exact"/>
              <w:ind w:left="0"/>
              <w:rPr>
                <w:sz w:val="30"/>
                <w:szCs w:val="30"/>
              </w:rPr>
            </w:pPr>
            <w:bookmarkStart w:id="0" w:name="_GoBack"/>
            <w:r>
              <w:rPr>
                <w:sz w:val="30"/>
                <w:szCs w:val="30"/>
              </w:rPr>
              <w:t>22</w:t>
            </w:r>
            <w:r w:rsidRPr="002C292A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01.2020</w:t>
            </w:r>
            <w:r w:rsidRPr="002C292A">
              <w:rPr>
                <w:sz w:val="30"/>
                <w:szCs w:val="30"/>
              </w:rPr>
              <w:t xml:space="preserve"> № 7-2-1</w:t>
            </w:r>
            <w:r>
              <w:rPr>
                <w:sz w:val="30"/>
                <w:szCs w:val="30"/>
              </w:rPr>
              <w:t>2</w:t>
            </w:r>
            <w:r w:rsidRPr="002C292A">
              <w:rPr>
                <w:sz w:val="30"/>
                <w:szCs w:val="30"/>
              </w:rPr>
              <w:t>/</w:t>
            </w:r>
            <w:r>
              <w:rPr>
                <w:sz w:val="30"/>
                <w:szCs w:val="30"/>
              </w:rPr>
              <w:t>00091</w:t>
            </w:r>
          </w:p>
          <w:bookmarkEnd w:id="0"/>
          <w:p w:rsidR="00AD331E" w:rsidRPr="002C292A" w:rsidRDefault="00AD331E" w:rsidP="00AD331E">
            <w:pPr>
              <w:pStyle w:val="a9"/>
              <w:tabs>
                <w:tab w:val="left" w:pos="4536"/>
                <w:tab w:val="left" w:pos="4820"/>
              </w:tabs>
              <w:spacing w:after="0" w:line="280" w:lineRule="exact"/>
              <w:ind w:left="0"/>
              <w:rPr>
                <w:sz w:val="30"/>
                <w:szCs w:val="30"/>
              </w:rPr>
            </w:pPr>
          </w:p>
        </w:tc>
        <w:tc>
          <w:tcPr>
            <w:tcW w:w="5351" w:type="dxa"/>
          </w:tcPr>
          <w:p w:rsidR="00AD331E" w:rsidRDefault="00AD331E" w:rsidP="00AD331E">
            <w:pPr>
              <w:spacing w:line="280" w:lineRule="exact"/>
              <w:rPr>
                <w:sz w:val="30"/>
                <w:szCs w:val="30"/>
              </w:rPr>
            </w:pPr>
            <w:r w:rsidRPr="002C292A">
              <w:rPr>
                <w:sz w:val="30"/>
                <w:szCs w:val="30"/>
              </w:rPr>
              <w:t xml:space="preserve">Министерство </w:t>
            </w:r>
            <w:r>
              <w:rPr>
                <w:sz w:val="30"/>
                <w:szCs w:val="30"/>
              </w:rPr>
              <w:t xml:space="preserve">транспорта и коммуникаций </w:t>
            </w:r>
            <w:r w:rsidRPr="002C292A">
              <w:rPr>
                <w:sz w:val="30"/>
                <w:szCs w:val="30"/>
              </w:rPr>
              <w:t>Республики Беларусь</w:t>
            </w:r>
          </w:p>
          <w:p w:rsidR="00AD331E" w:rsidRPr="002C292A" w:rsidRDefault="00AD331E" w:rsidP="00AD331E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(СМДО)</w:t>
            </w:r>
          </w:p>
        </w:tc>
      </w:tr>
    </w:tbl>
    <w:p w:rsidR="00AD331E" w:rsidRDefault="00AD331E" w:rsidP="00AD331E">
      <w:pPr>
        <w:spacing w:line="360" w:lineRule="auto"/>
      </w:pPr>
    </w:p>
    <w:p w:rsidR="00AD331E" w:rsidRPr="00B02CE2" w:rsidRDefault="00AD331E" w:rsidP="00AD331E">
      <w:pPr>
        <w:spacing w:line="280" w:lineRule="exact"/>
        <w:jc w:val="both"/>
        <w:rPr>
          <w:sz w:val="30"/>
          <w:szCs w:val="30"/>
        </w:rPr>
      </w:pPr>
      <w:r w:rsidRPr="00B02CE2">
        <w:rPr>
          <w:sz w:val="30"/>
          <w:szCs w:val="30"/>
        </w:rPr>
        <w:t xml:space="preserve">О направлении информации </w:t>
      </w:r>
    </w:p>
    <w:p w:rsidR="00AD331E" w:rsidRPr="00B02CE2" w:rsidRDefault="00AD331E" w:rsidP="00AD331E">
      <w:pPr>
        <w:spacing w:line="360" w:lineRule="auto"/>
        <w:ind w:firstLine="709"/>
        <w:jc w:val="both"/>
        <w:rPr>
          <w:sz w:val="30"/>
          <w:szCs w:val="30"/>
        </w:rPr>
      </w:pPr>
    </w:p>
    <w:p w:rsidR="00AD331E" w:rsidRPr="00585DB0" w:rsidRDefault="00AD331E" w:rsidP="00AD331E">
      <w:pPr>
        <w:spacing w:after="1"/>
        <w:ind w:firstLine="709"/>
        <w:jc w:val="both"/>
        <w:rPr>
          <w:sz w:val="30"/>
          <w:szCs w:val="30"/>
        </w:rPr>
      </w:pPr>
      <w:r w:rsidRPr="00585DB0">
        <w:rPr>
          <w:sz w:val="30"/>
          <w:szCs w:val="30"/>
        </w:rPr>
        <w:t>Министерство по налогам и сборам (далее – МНС), рассмотрев письмо Министерства транспорта и коммуникаций (далее – Минтранс) от 27.11.2019 № 03-01-10/10918, сообщает.</w:t>
      </w:r>
    </w:p>
    <w:p w:rsidR="00AD331E" w:rsidRPr="00585DB0" w:rsidRDefault="00AD331E" w:rsidP="00AD331E">
      <w:pPr>
        <w:ind w:firstLine="709"/>
        <w:jc w:val="both"/>
        <w:rPr>
          <w:sz w:val="30"/>
          <w:szCs w:val="30"/>
        </w:rPr>
      </w:pPr>
      <w:r w:rsidRPr="00585DB0">
        <w:rPr>
          <w:sz w:val="30"/>
          <w:szCs w:val="30"/>
        </w:rPr>
        <w:t>Позиция Минтранса в части признания компании «</w:t>
      </w:r>
      <w:proofErr w:type="spellStart"/>
      <w:r w:rsidRPr="00585DB0">
        <w:rPr>
          <w:sz w:val="30"/>
          <w:szCs w:val="30"/>
        </w:rPr>
        <w:t>Uber</w:t>
      </w:r>
      <w:proofErr w:type="spellEnd"/>
      <w:r w:rsidRPr="00585DB0">
        <w:rPr>
          <w:sz w:val="30"/>
          <w:szCs w:val="30"/>
        </w:rPr>
        <w:t xml:space="preserve"> ML B.V» диспетчером такси, а автомобильных перевозчиков, являющихся партнерами и осуществляющих перевозки пассажиров под брендами «Яндекс. Такси» и «</w:t>
      </w:r>
      <w:proofErr w:type="spellStart"/>
      <w:r w:rsidRPr="00585DB0">
        <w:rPr>
          <w:sz w:val="30"/>
          <w:szCs w:val="30"/>
        </w:rPr>
        <w:t>Uber</w:t>
      </w:r>
      <w:proofErr w:type="spellEnd"/>
      <w:r w:rsidRPr="00585DB0">
        <w:rPr>
          <w:sz w:val="30"/>
          <w:szCs w:val="30"/>
        </w:rPr>
        <w:t>» – перевозчиками пассажиров автомобилями-такси, поддерживается.</w:t>
      </w:r>
    </w:p>
    <w:p w:rsidR="00AD331E" w:rsidRPr="00585DB0" w:rsidRDefault="00AD331E" w:rsidP="00AD331E">
      <w:pPr>
        <w:spacing w:after="1"/>
        <w:ind w:firstLine="709"/>
        <w:jc w:val="both"/>
        <w:rPr>
          <w:sz w:val="30"/>
          <w:szCs w:val="30"/>
        </w:rPr>
      </w:pPr>
      <w:r w:rsidRPr="00585DB0">
        <w:rPr>
          <w:sz w:val="30"/>
          <w:szCs w:val="30"/>
        </w:rPr>
        <w:t>В этой связи МНС в пределах компетенции считает возможным также высказать позицию по вопросу организации деятельности по осуществлению автомобильных перевозок пассажиров автомобилями-такси.</w:t>
      </w:r>
    </w:p>
    <w:p w:rsidR="00AD331E" w:rsidRPr="00585DB0" w:rsidRDefault="00AD331E" w:rsidP="00AD331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right="140" w:firstLine="709"/>
        <w:jc w:val="both"/>
        <w:rPr>
          <w:bCs/>
          <w:sz w:val="30"/>
          <w:szCs w:val="30"/>
        </w:rPr>
      </w:pPr>
      <w:r w:rsidRPr="00585DB0">
        <w:rPr>
          <w:sz w:val="30"/>
          <w:szCs w:val="30"/>
        </w:rPr>
        <w:t>Выполнение автомобильной перевозки пассажиров автомобилями-такси, заказанной с использованием э</w:t>
      </w:r>
      <w:r w:rsidRPr="00585DB0">
        <w:rPr>
          <w:bCs/>
          <w:sz w:val="30"/>
          <w:szCs w:val="30"/>
        </w:rPr>
        <w:t xml:space="preserve">лектронной информационной системы (далее – </w:t>
      </w:r>
      <w:r w:rsidRPr="00585DB0">
        <w:rPr>
          <w:sz w:val="30"/>
          <w:szCs w:val="30"/>
        </w:rPr>
        <w:t>ЭИС).</w:t>
      </w:r>
    </w:p>
    <w:p w:rsidR="00AD331E" w:rsidRPr="00585DB0" w:rsidRDefault="00AD331E" w:rsidP="00AD331E">
      <w:pPr>
        <w:tabs>
          <w:tab w:val="left" w:pos="9639"/>
        </w:tabs>
        <w:autoSpaceDE w:val="0"/>
        <w:autoSpaceDN w:val="0"/>
        <w:adjustRightInd w:val="0"/>
        <w:ind w:right="140" w:firstLine="709"/>
        <w:jc w:val="both"/>
        <w:rPr>
          <w:bCs/>
          <w:sz w:val="30"/>
          <w:szCs w:val="30"/>
        </w:rPr>
      </w:pPr>
      <w:r w:rsidRPr="00585DB0">
        <w:rPr>
          <w:bCs/>
          <w:sz w:val="30"/>
          <w:szCs w:val="30"/>
        </w:rPr>
        <w:t xml:space="preserve">Согласно статье 1 </w:t>
      </w:r>
      <w:r w:rsidRPr="00585DB0">
        <w:rPr>
          <w:sz w:val="30"/>
          <w:szCs w:val="30"/>
        </w:rPr>
        <w:t>Закона Республики Беларусь от 14.08.2007</w:t>
      </w:r>
      <w:r w:rsidRPr="00585DB0">
        <w:rPr>
          <w:sz w:val="30"/>
          <w:szCs w:val="30"/>
        </w:rPr>
        <w:br/>
        <w:t>№ 278-З «Об автомобильном транспорте и автомобильных перевозках» (далее – Закон) диспетчер такси – юридическое лицо, оказывающее услуги по организации и управлению технологическим процессом выполнения автомобильных перевозок пассажиров автомобилями-такси, включая прием и передачу заказов на выполнение автомобильных перевозок пассажиров автомобилями-такси, справочно-информационные, консультационные и иные сопутствующие услуги, в том числе с использованием средств электросвязи и глобальной компьютерной сети Интернет, в частности посредством электронной информационной системы с функцией оплаты в безналичном порядке. Э</w:t>
      </w:r>
      <w:r w:rsidRPr="00585DB0">
        <w:rPr>
          <w:bCs/>
          <w:sz w:val="30"/>
          <w:szCs w:val="30"/>
        </w:rPr>
        <w:t xml:space="preserve">лектронная информационная система (далее – </w:t>
      </w:r>
      <w:r w:rsidRPr="00585DB0">
        <w:rPr>
          <w:sz w:val="30"/>
          <w:szCs w:val="30"/>
        </w:rPr>
        <w:t xml:space="preserve">ЭИС) </w:t>
      </w:r>
      <w:r w:rsidRPr="00585DB0">
        <w:rPr>
          <w:bCs/>
          <w:sz w:val="30"/>
          <w:szCs w:val="30"/>
        </w:rPr>
        <w:t xml:space="preserve">является информационной системой, зарегистрированной в установленном Советом Министров Республики Беларусь порядке в Государственном регистре информационных систем, посредством которой диспетчер такси или автомобильный перевозчик обеспечивают организацию и управление </w:t>
      </w:r>
      <w:r w:rsidRPr="00585DB0">
        <w:rPr>
          <w:bCs/>
          <w:sz w:val="30"/>
          <w:szCs w:val="30"/>
        </w:rPr>
        <w:lastRenderedPageBreak/>
        <w:t xml:space="preserve">технологическим процессом выполнения автомобильных перевозок пассажиров автомобилями-такси с использованием средств электросвязи и глобальной компьютерной сети Интернет и посредством которой оплата пассажирами выполненных автомобильных перевозок пассажиров автомобилями-такси осуществляется </w:t>
      </w:r>
      <w:r w:rsidRPr="00585DB0">
        <w:rPr>
          <w:b/>
          <w:bCs/>
          <w:sz w:val="30"/>
          <w:szCs w:val="30"/>
        </w:rPr>
        <w:t>в безналичном порядке</w:t>
      </w:r>
      <w:r w:rsidRPr="00585DB0">
        <w:rPr>
          <w:bCs/>
          <w:sz w:val="30"/>
          <w:szCs w:val="30"/>
        </w:rPr>
        <w:t xml:space="preserve"> в соответствии с законодательством. </w:t>
      </w:r>
    </w:p>
    <w:p w:rsidR="00AD331E" w:rsidRPr="00585DB0" w:rsidRDefault="00AD331E" w:rsidP="00AD331E">
      <w:pPr>
        <w:tabs>
          <w:tab w:val="left" w:pos="9639"/>
        </w:tabs>
        <w:autoSpaceDE w:val="0"/>
        <w:autoSpaceDN w:val="0"/>
        <w:adjustRightInd w:val="0"/>
        <w:ind w:right="140" w:firstLine="709"/>
        <w:jc w:val="both"/>
        <w:rPr>
          <w:sz w:val="30"/>
          <w:szCs w:val="30"/>
        </w:rPr>
      </w:pPr>
      <w:r w:rsidRPr="00585DB0">
        <w:rPr>
          <w:bCs/>
          <w:sz w:val="30"/>
          <w:szCs w:val="30"/>
        </w:rPr>
        <w:t xml:space="preserve">В соответствии с частью двенадцатой статьи 27 Закона, </w:t>
      </w:r>
      <w:r w:rsidRPr="00585DB0">
        <w:rPr>
          <w:sz w:val="30"/>
          <w:szCs w:val="30"/>
        </w:rPr>
        <w:t>выполнение автомобильной перевозки пассажиров автомобилями-такси, заказанной с использованием ЭИС, осуществляется с выключенным кассовым суммирующим аппаратом, совмещенным с таксометром (при его наличии). Если автомобильный перевозчик выполняет автомобильные перевозки пассажиров автомобилями-такси, заказанными только с использованием ЭИС, предусматривающей безналичный порядок оплаты, оборудование автомобилей-такси такого автомобильного перевозчика кассовыми суммирующими аппаратами, совмещенными с таксометром, не требуется.</w:t>
      </w:r>
    </w:p>
    <w:p w:rsidR="00AD331E" w:rsidRPr="00585DB0" w:rsidRDefault="00AD331E" w:rsidP="00AD331E">
      <w:pPr>
        <w:tabs>
          <w:tab w:val="left" w:pos="9639"/>
        </w:tabs>
        <w:autoSpaceDE w:val="0"/>
        <w:autoSpaceDN w:val="0"/>
        <w:adjustRightInd w:val="0"/>
        <w:ind w:right="140" w:firstLine="709"/>
        <w:jc w:val="both"/>
        <w:rPr>
          <w:sz w:val="30"/>
          <w:szCs w:val="30"/>
        </w:rPr>
      </w:pPr>
      <w:r w:rsidRPr="00585DB0">
        <w:rPr>
          <w:bCs/>
          <w:sz w:val="30"/>
          <w:szCs w:val="30"/>
        </w:rPr>
        <w:t xml:space="preserve">В соответствии с частью седьмой пункта 13 </w:t>
      </w:r>
      <w:hyperlink r:id="rId7" w:history="1">
        <w:r w:rsidRPr="00585DB0">
          <w:rPr>
            <w:sz w:val="30"/>
            <w:szCs w:val="30"/>
          </w:rPr>
          <w:t>Правил</w:t>
        </w:r>
      </w:hyperlink>
      <w:r w:rsidRPr="00585DB0">
        <w:rPr>
          <w:sz w:val="30"/>
          <w:szCs w:val="30"/>
        </w:rPr>
        <w:t xml:space="preserve"> автомобильных перевозок пассажиров, утвержденных постановлением Совета Министров Республики Беларусь от 30.06.2008 № 972 «О некоторых вопросах автомобильных перевозок пассажиров» (далее – </w:t>
      </w:r>
      <w:hyperlink r:id="rId8" w:history="1">
        <w:r w:rsidRPr="00585DB0">
          <w:rPr>
            <w:sz w:val="30"/>
            <w:szCs w:val="30"/>
          </w:rPr>
          <w:t>Правил</w:t>
        </w:r>
      </w:hyperlink>
      <w:r w:rsidRPr="00585DB0">
        <w:rPr>
          <w:sz w:val="30"/>
          <w:szCs w:val="30"/>
        </w:rPr>
        <w:t xml:space="preserve">а), </w:t>
      </w:r>
      <w:r w:rsidRPr="00585DB0">
        <w:rPr>
          <w:b/>
          <w:sz w:val="30"/>
          <w:szCs w:val="30"/>
        </w:rPr>
        <w:t>автомобиль-такси</w:t>
      </w:r>
      <w:r w:rsidRPr="00585DB0">
        <w:rPr>
          <w:sz w:val="30"/>
          <w:szCs w:val="30"/>
        </w:rPr>
        <w:t xml:space="preserve"> (за исключением автомобиля-такси, выполняющего автомобильные перевозки пассажиров автомобилями-такси, заказанные с использованием ЭИС), </w:t>
      </w:r>
      <w:r w:rsidRPr="00585DB0">
        <w:rPr>
          <w:b/>
          <w:sz w:val="30"/>
          <w:szCs w:val="30"/>
        </w:rPr>
        <w:t>должен быть оборудован кассовым суммирующим аппаратом, совмещенным с таксометром</w:t>
      </w:r>
      <w:r w:rsidRPr="00585DB0">
        <w:rPr>
          <w:sz w:val="30"/>
          <w:szCs w:val="30"/>
        </w:rPr>
        <w:t xml:space="preserve">, прошедшим метрологический контроль в соответствии с законодательством об обеспечении единства измерений и включенным в Государственный </w:t>
      </w:r>
      <w:hyperlink r:id="rId9" w:history="1">
        <w:r w:rsidRPr="00585DB0">
          <w:rPr>
            <w:sz w:val="30"/>
            <w:szCs w:val="30"/>
          </w:rPr>
          <w:t>реестр</w:t>
        </w:r>
      </w:hyperlink>
      <w:r w:rsidRPr="00585DB0">
        <w:rPr>
          <w:sz w:val="30"/>
          <w:szCs w:val="30"/>
        </w:rPr>
        <w:t>, с указателем режимов использования автомобиля-такси, другим дополнительным оборудованием кассового суммирующего аппарата, совмещенного с таксометром, и средством контроля налоговых органов (далее – СКНО).</w:t>
      </w:r>
    </w:p>
    <w:p w:rsidR="00AD331E" w:rsidRPr="00585DB0" w:rsidRDefault="00AD331E" w:rsidP="00AD331E">
      <w:pPr>
        <w:tabs>
          <w:tab w:val="left" w:pos="9639"/>
        </w:tabs>
        <w:ind w:right="140" w:firstLine="709"/>
        <w:jc w:val="both"/>
        <w:rPr>
          <w:sz w:val="30"/>
          <w:szCs w:val="30"/>
        </w:rPr>
      </w:pPr>
      <w:r w:rsidRPr="00585DB0">
        <w:rPr>
          <w:bCs/>
          <w:sz w:val="30"/>
          <w:szCs w:val="30"/>
        </w:rPr>
        <w:t xml:space="preserve">Пунктом </w:t>
      </w:r>
      <w:r w:rsidRPr="00585DB0">
        <w:rPr>
          <w:sz w:val="30"/>
          <w:szCs w:val="30"/>
        </w:rPr>
        <w:t xml:space="preserve">164 </w:t>
      </w:r>
      <w:hyperlink r:id="rId10" w:history="1">
        <w:r w:rsidRPr="00585DB0">
          <w:rPr>
            <w:sz w:val="30"/>
            <w:szCs w:val="30"/>
          </w:rPr>
          <w:t>Правил</w:t>
        </w:r>
      </w:hyperlink>
      <w:r w:rsidRPr="00585DB0">
        <w:rPr>
          <w:sz w:val="30"/>
          <w:szCs w:val="30"/>
        </w:rPr>
        <w:t xml:space="preserve"> определено, что водитель автомобиля-такси обязан по окончании автомобильной перевозки выдать пассажиру платежный документ и произвести с ним расчет, а в случаях оплаты пассажирами выполненных автомобильных перевозок пассажиров автомобилями-такси в безналичном порядке – направить на адрес электронной почты, указанный заказчиком автомобильной перевозки пассажиров автомобилями-такси, электронную квитанцию.</w:t>
      </w:r>
    </w:p>
    <w:p w:rsidR="00AD331E" w:rsidRPr="00585DB0" w:rsidRDefault="00AD331E" w:rsidP="00AD331E">
      <w:pPr>
        <w:tabs>
          <w:tab w:val="left" w:pos="9639"/>
        </w:tabs>
        <w:autoSpaceDE w:val="0"/>
        <w:autoSpaceDN w:val="0"/>
        <w:adjustRightInd w:val="0"/>
        <w:ind w:right="140" w:firstLine="709"/>
        <w:jc w:val="both"/>
        <w:rPr>
          <w:sz w:val="30"/>
          <w:szCs w:val="30"/>
        </w:rPr>
      </w:pPr>
      <w:r w:rsidRPr="00585DB0">
        <w:rPr>
          <w:sz w:val="30"/>
          <w:szCs w:val="30"/>
        </w:rPr>
        <w:t xml:space="preserve">Таким образом, с учетом требований Закона и </w:t>
      </w:r>
      <w:hyperlink r:id="rId11" w:history="1">
        <w:r w:rsidRPr="00585DB0">
          <w:rPr>
            <w:sz w:val="30"/>
            <w:szCs w:val="30"/>
          </w:rPr>
          <w:t>Правил</w:t>
        </w:r>
      </w:hyperlink>
      <w:r w:rsidRPr="00585DB0">
        <w:rPr>
          <w:sz w:val="30"/>
          <w:szCs w:val="30"/>
        </w:rPr>
        <w:t xml:space="preserve"> если посредством ЭИС осуществляется заказ автомобильной перевозки пассажира и оплата за нее производится </w:t>
      </w:r>
      <w:r w:rsidRPr="00585DB0">
        <w:rPr>
          <w:b/>
          <w:sz w:val="30"/>
          <w:szCs w:val="30"/>
        </w:rPr>
        <w:t>наличными денежными средствами</w:t>
      </w:r>
      <w:r w:rsidRPr="00585DB0">
        <w:rPr>
          <w:sz w:val="30"/>
          <w:szCs w:val="30"/>
        </w:rPr>
        <w:t xml:space="preserve">, то такую автомобильную перевозку пассажира следует рассматривать как автомобильную перевозку пассажира автомобилем-такси, заказанную у диспетчера такси или автомобильного перевозчика, </w:t>
      </w:r>
      <w:r w:rsidRPr="00585DB0">
        <w:rPr>
          <w:sz w:val="30"/>
          <w:szCs w:val="30"/>
        </w:rPr>
        <w:lastRenderedPageBreak/>
        <w:t xml:space="preserve">самостоятельно выполняющего  прием и передачу заказов на выполнение перевозок автомобилями-такси, при помощи глобальной компьютерной сети Интернет. Соответственно, в таких </w:t>
      </w:r>
      <w:r w:rsidRPr="00585DB0">
        <w:rPr>
          <w:b/>
          <w:sz w:val="30"/>
          <w:szCs w:val="30"/>
        </w:rPr>
        <w:t>случаях прием наличных денежных средств должен осуществляться с обязательным использованием кассового суммирующего аппарата, совмещенного с таксометром, с установленным СКНО</w:t>
      </w:r>
      <w:r w:rsidRPr="00585DB0">
        <w:rPr>
          <w:sz w:val="30"/>
          <w:szCs w:val="30"/>
        </w:rPr>
        <w:t>.</w:t>
      </w:r>
    </w:p>
    <w:p w:rsidR="00AD331E" w:rsidRPr="00585DB0" w:rsidRDefault="00AD331E" w:rsidP="00AD331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right="140" w:firstLine="709"/>
        <w:jc w:val="both"/>
        <w:rPr>
          <w:sz w:val="30"/>
          <w:szCs w:val="30"/>
        </w:rPr>
      </w:pPr>
      <w:r w:rsidRPr="00585DB0">
        <w:rPr>
          <w:sz w:val="30"/>
          <w:szCs w:val="30"/>
        </w:rPr>
        <w:t>Использования кассовых суммирующих аппаратов, совмещенных с таксометром, в соответствии со сферой применения.</w:t>
      </w:r>
    </w:p>
    <w:p w:rsidR="00AD331E" w:rsidRPr="00585DB0" w:rsidRDefault="00AD331E" w:rsidP="00AD331E">
      <w:pPr>
        <w:tabs>
          <w:tab w:val="left" w:pos="9639"/>
        </w:tabs>
        <w:ind w:right="140" w:firstLine="709"/>
        <w:jc w:val="both"/>
        <w:rPr>
          <w:sz w:val="30"/>
          <w:szCs w:val="30"/>
        </w:rPr>
      </w:pPr>
      <w:r w:rsidRPr="00585DB0">
        <w:rPr>
          <w:sz w:val="30"/>
          <w:szCs w:val="30"/>
        </w:rPr>
        <w:t xml:space="preserve">В соответствии с пунктом 11 Положения о порядке использования кассового оборудования, платежных терминалов, автоматических электронных аппаратов, торговых автоматов и приема наличных денежных средств, денежных средств в случае осуществления расчетов в безналичной форме посредством банковских платежных карточек при продаже товаров, выполнении работ, оказании услуг, осуществлении деятельности в сфере игорного бизнеса, лотерейной деятельности, проведении электронных интерактивных игр, утвержденного постановлением Совета Министров Республики Беларусь и Национального банка Республики Беларусь от 06.07.2011 № 924/16 (далее – Положение № 924/16), юридические лица и индивидуальные предприниматели обязаны использовать кассовые суммирующие аппараты, в том числе совмещенные с таксометром, билетопечатающие машины (далее, если не установлено иное, </w:t>
      </w:r>
      <w:r w:rsidRPr="00585DB0">
        <w:rPr>
          <w:kern w:val="30"/>
          <w:sz w:val="30"/>
          <w:szCs w:val="30"/>
        </w:rPr>
        <w:t xml:space="preserve">– </w:t>
      </w:r>
      <w:r w:rsidRPr="00585DB0">
        <w:rPr>
          <w:sz w:val="30"/>
          <w:szCs w:val="30"/>
        </w:rPr>
        <w:t xml:space="preserve">кассовый аппарат), модели (модификации) которых включены в Государственный реестр моделей (модификаций) кассовых суммирующих аппаратов и специальных компьютерных систем, используемых на территории Республики Беларусь (далее – Государственный реестр), в соответствии со сферой применения, указанной в Государственном </w:t>
      </w:r>
      <w:hyperlink r:id="rId12" w:history="1">
        <w:r w:rsidRPr="00585DB0">
          <w:rPr>
            <w:sz w:val="30"/>
            <w:szCs w:val="30"/>
          </w:rPr>
          <w:t>реестре</w:t>
        </w:r>
      </w:hyperlink>
      <w:r w:rsidRPr="00585DB0">
        <w:rPr>
          <w:sz w:val="30"/>
          <w:szCs w:val="30"/>
        </w:rPr>
        <w:t>. В соответствии с пунктом 17 Положения № 924/16 не допускается использование кассового аппарата в случаях, если модель (модификация) используемого кассового аппарата не соответствует сфере применения, указанной в Государственном реестре.</w:t>
      </w:r>
    </w:p>
    <w:p w:rsidR="00AD331E" w:rsidRPr="00585DB0" w:rsidRDefault="00AD331E" w:rsidP="00AD331E">
      <w:pPr>
        <w:tabs>
          <w:tab w:val="left" w:pos="9639"/>
        </w:tabs>
        <w:ind w:right="140" w:firstLine="709"/>
        <w:jc w:val="both"/>
        <w:rPr>
          <w:sz w:val="30"/>
          <w:szCs w:val="30"/>
        </w:rPr>
      </w:pPr>
      <w:r w:rsidRPr="00585DB0">
        <w:rPr>
          <w:sz w:val="30"/>
          <w:szCs w:val="30"/>
        </w:rPr>
        <w:t xml:space="preserve">Модели кассовых суммирующих аппаратов, совмещенных с таксометром, включены в раздел 3 Государственного </w:t>
      </w:r>
      <w:hyperlink r:id="rId13" w:history="1">
        <w:r w:rsidRPr="00585DB0">
          <w:rPr>
            <w:sz w:val="30"/>
            <w:szCs w:val="30"/>
          </w:rPr>
          <w:t>реестр</w:t>
        </w:r>
      </w:hyperlink>
      <w:r w:rsidRPr="00585DB0">
        <w:rPr>
          <w:sz w:val="30"/>
          <w:szCs w:val="30"/>
        </w:rPr>
        <w:t xml:space="preserve">а «КСА, СОВМЕЩЕННЫЕ С ТАКСОМЕТРАМИ» сфера применения </w:t>
      </w:r>
      <w:r w:rsidRPr="00585DB0">
        <w:rPr>
          <w:sz w:val="30"/>
          <w:szCs w:val="30"/>
        </w:rPr>
        <w:br/>
        <w:t>которых – «Услуги автомобильного транспорта по перевозке пассажиров автомобилями-такси».</w:t>
      </w:r>
    </w:p>
    <w:p w:rsidR="00AD331E" w:rsidRPr="00585DB0" w:rsidRDefault="00AD331E" w:rsidP="00AD331E">
      <w:pPr>
        <w:tabs>
          <w:tab w:val="left" w:pos="9639"/>
        </w:tabs>
        <w:ind w:right="140" w:firstLine="709"/>
        <w:jc w:val="both"/>
        <w:rPr>
          <w:sz w:val="30"/>
          <w:szCs w:val="30"/>
        </w:rPr>
      </w:pPr>
      <w:r w:rsidRPr="00585DB0">
        <w:rPr>
          <w:sz w:val="30"/>
          <w:szCs w:val="30"/>
        </w:rPr>
        <w:t>Таким образом, юридические лица и индивидуальные предприниматели при осуществлении деятельности по перевозке пассажиров автомобилями-такси обязаны использовать при приеме наличных денежных средств</w:t>
      </w:r>
      <w:r w:rsidRPr="00585DB0">
        <w:rPr>
          <w:b/>
          <w:sz w:val="30"/>
          <w:szCs w:val="30"/>
        </w:rPr>
        <w:t xml:space="preserve"> модели кассовых суммирующих аппаратов, совмещенные с таксометром.</w:t>
      </w:r>
    </w:p>
    <w:p w:rsidR="00AD331E" w:rsidRPr="00585DB0" w:rsidRDefault="00AD331E" w:rsidP="00AD331E">
      <w:pPr>
        <w:spacing w:after="1" w:line="300" w:lineRule="atLeast"/>
        <w:ind w:firstLine="709"/>
        <w:jc w:val="both"/>
        <w:rPr>
          <w:sz w:val="30"/>
          <w:szCs w:val="30"/>
        </w:rPr>
      </w:pPr>
      <w:r w:rsidRPr="00585DB0">
        <w:rPr>
          <w:sz w:val="30"/>
          <w:szCs w:val="30"/>
        </w:rPr>
        <w:t xml:space="preserve">Модели кассовых аппаратов с иной сферой применения, </w:t>
      </w:r>
      <w:r w:rsidRPr="00585DB0">
        <w:rPr>
          <w:b/>
          <w:sz w:val="30"/>
          <w:szCs w:val="30"/>
        </w:rPr>
        <w:t xml:space="preserve">которые не включены в раздел 3 Государственного </w:t>
      </w:r>
      <w:hyperlink r:id="rId14" w:history="1">
        <w:r w:rsidRPr="00585DB0">
          <w:rPr>
            <w:b/>
            <w:sz w:val="30"/>
            <w:szCs w:val="30"/>
          </w:rPr>
          <w:t>реестр</w:t>
        </w:r>
      </w:hyperlink>
      <w:r w:rsidRPr="00585DB0">
        <w:rPr>
          <w:b/>
          <w:sz w:val="30"/>
          <w:szCs w:val="30"/>
        </w:rPr>
        <w:t>а</w:t>
      </w:r>
      <w:r w:rsidRPr="00585DB0">
        <w:rPr>
          <w:sz w:val="30"/>
          <w:szCs w:val="30"/>
        </w:rPr>
        <w:t xml:space="preserve">, </w:t>
      </w:r>
      <w:r w:rsidRPr="00585DB0">
        <w:rPr>
          <w:b/>
          <w:sz w:val="30"/>
          <w:szCs w:val="30"/>
        </w:rPr>
        <w:t>не могут</w:t>
      </w:r>
      <w:r w:rsidRPr="00585DB0">
        <w:rPr>
          <w:sz w:val="30"/>
          <w:szCs w:val="30"/>
        </w:rPr>
        <w:t xml:space="preserve"> </w:t>
      </w:r>
      <w:r w:rsidRPr="00585DB0">
        <w:rPr>
          <w:sz w:val="30"/>
          <w:szCs w:val="30"/>
        </w:rPr>
        <w:lastRenderedPageBreak/>
        <w:t>использоваться при оказании услуг автомобильного транспорта по перевозке пассажиров автомобилями-такси.</w:t>
      </w:r>
    </w:p>
    <w:p w:rsidR="00AD331E" w:rsidRPr="00585DB0" w:rsidRDefault="00AD331E" w:rsidP="00AD331E">
      <w:pPr>
        <w:tabs>
          <w:tab w:val="left" w:pos="9639"/>
        </w:tabs>
        <w:ind w:right="140" w:firstLine="709"/>
        <w:jc w:val="both"/>
        <w:rPr>
          <w:sz w:val="30"/>
          <w:szCs w:val="30"/>
        </w:rPr>
      </w:pPr>
      <w:r w:rsidRPr="00585DB0">
        <w:rPr>
          <w:sz w:val="30"/>
          <w:szCs w:val="30"/>
        </w:rPr>
        <w:t>За нарушение требований пунктов 11 и 17 Положения № 924/16 к виновным лицам применяются меры административной ответственности, предусмотренные частью 1 статьи 12.20 Кодекса Республики Беларусь об административных правонарушениях.</w:t>
      </w:r>
    </w:p>
    <w:p w:rsidR="00AD331E" w:rsidRPr="00585DB0" w:rsidRDefault="00AD331E" w:rsidP="00AD331E">
      <w:pPr>
        <w:numPr>
          <w:ilvl w:val="0"/>
          <w:numId w:val="1"/>
        </w:numPr>
        <w:tabs>
          <w:tab w:val="left" w:pos="0"/>
        </w:tabs>
        <w:spacing w:after="1"/>
        <w:ind w:left="0" w:right="140" w:firstLine="709"/>
        <w:jc w:val="both"/>
        <w:rPr>
          <w:bCs/>
          <w:sz w:val="30"/>
          <w:szCs w:val="30"/>
        </w:rPr>
      </w:pPr>
      <w:r w:rsidRPr="00585DB0">
        <w:rPr>
          <w:sz w:val="30"/>
          <w:szCs w:val="30"/>
        </w:rPr>
        <w:t xml:space="preserve">По вопросу </w:t>
      </w:r>
      <w:r w:rsidRPr="00585DB0">
        <w:rPr>
          <w:bCs/>
          <w:sz w:val="30"/>
          <w:szCs w:val="30"/>
        </w:rPr>
        <w:t>аренды транспортного средства с предоставлением услуг по управлению и технической эксплуатации (далее – аренда транспортного средства с экипажем)</w:t>
      </w:r>
      <w:r w:rsidRPr="00585DB0">
        <w:rPr>
          <w:sz w:val="30"/>
          <w:szCs w:val="30"/>
        </w:rPr>
        <w:t xml:space="preserve"> считаем возможным отметить следующее.</w:t>
      </w:r>
    </w:p>
    <w:p w:rsidR="00AD331E" w:rsidRPr="00585DB0" w:rsidRDefault="00AD331E" w:rsidP="00AD331E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585DB0">
        <w:rPr>
          <w:rFonts w:eastAsia="Calibri"/>
          <w:sz w:val="30"/>
          <w:szCs w:val="30"/>
          <w:lang w:eastAsia="en-US"/>
        </w:rPr>
        <w:t>Согласно статье 4 Закона автомобильные перевозки пассажиров в нерегулярном сообщении включают в себя следующие виды автомобильных перевозок пассажиров:</w:t>
      </w:r>
    </w:p>
    <w:p w:rsidR="00AD331E" w:rsidRPr="00585DB0" w:rsidRDefault="00AD331E" w:rsidP="00AD331E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585DB0">
        <w:rPr>
          <w:rFonts w:eastAsia="Calibri"/>
          <w:sz w:val="30"/>
          <w:szCs w:val="30"/>
          <w:lang w:eastAsia="en-US"/>
        </w:rPr>
        <w:t>автомобильные перевозки пассажиров автомобилями-такси;</w:t>
      </w:r>
    </w:p>
    <w:p w:rsidR="00AD331E" w:rsidRPr="00585DB0" w:rsidRDefault="00AD331E" w:rsidP="00AD331E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585DB0">
        <w:rPr>
          <w:rFonts w:eastAsia="Calibri"/>
          <w:sz w:val="30"/>
          <w:szCs w:val="30"/>
          <w:lang w:eastAsia="en-US"/>
        </w:rPr>
        <w:t>автомобильные перевозки предварительно организованной заказчиком автомобильной перевозки пассажиров в нерегулярном сообщении группы пассажиров к месту их работы, учебы, проведения массовых мероприятий, а также в связи со служебной командировкой и (или) обратно из таких мест, автомобильные перевозки, выполняемые в целях организации туристических путешествий, в том числе экскурсий, проведения свадебных, юбилейных и иных торжеств, ритуальных обрядов;</w:t>
      </w:r>
    </w:p>
    <w:p w:rsidR="00AD331E" w:rsidRPr="00585DB0" w:rsidRDefault="00AD331E" w:rsidP="00AD331E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585DB0">
        <w:rPr>
          <w:rFonts w:eastAsia="Calibri"/>
          <w:sz w:val="30"/>
          <w:szCs w:val="30"/>
          <w:lang w:eastAsia="en-US"/>
        </w:rPr>
        <w:t>автомобильные перевозки, выполняемые в целях транспортного обслуживания государственных органов (организаций) в случаях, предусмотренных законодательством;</w:t>
      </w:r>
    </w:p>
    <w:p w:rsidR="00AD331E" w:rsidRPr="00585DB0" w:rsidRDefault="00AD331E" w:rsidP="00AD33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85DB0">
        <w:rPr>
          <w:sz w:val="30"/>
          <w:szCs w:val="30"/>
        </w:rPr>
        <w:t>иные виды автомобильных перевозок пассажиров, установленные Советом Министров Республики Беларусь.</w:t>
      </w:r>
    </w:p>
    <w:p w:rsidR="00AD331E" w:rsidRPr="00585DB0" w:rsidRDefault="00AD331E" w:rsidP="00AD33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85DB0">
        <w:rPr>
          <w:sz w:val="30"/>
          <w:szCs w:val="30"/>
        </w:rPr>
        <w:t>В соответствии с с</w:t>
      </w:r>
      <w:hyperlink r:id="rId15" w:history="1">
        <w:r w:rsidRPr="00585DB0">
          <w:rPr>
            <w:sz w:val="30"/>
            <w:szCs w:val="30"/>
          </w:rPr>
          <w:t>татьями 603</w:t>
        </w:r>
      </w:hyperlink>
      <w:r w:rsidRPr="00585DB0">
        <w:rPr>
          <w:sz w:val="30"/>
          <w:szCs w:val="30"/>
        </w:rPr>
        <w:t xml:space="preserve"> - </w:t>
      </w:r>
      <w:hyperlink r:id="rId16" w:history="1">
        <w:r w:rsidRPr="00585DB0">
          <w:rPr>
            <w:sz w:val="30"/>
            <w:szCs w:val="30"/>
          </w:rPr>
          <w:t>612</w:t>
        </w:r>
      </w:hyperlink>
      <w:r w:rsidRPr="00585DB0">
        <w:rPr>
          <w:sz w:val="30"/>
          <w:szCs w:val="30"/>
        </w:rPr>
        <w:t xml:space="preserve"> Гражданского кодекса Республики Беларусь (далее – ГК) по договору аренды (фрахтования на время) транспортного средства с экипажем арендодатель предоставляет арендатору транспортное средство </w:t>
      </w:r>
      <w:r w:rsidRPr="00585DB0">
        <w:rPr>
          <w:b/>
          <w:sz w:val="30"/>
          <w:szCs w:val="30"/>
        </w:rPr>
        <w:t>за плату во временное владение и пользование</w:t>
      </w:r>
      <w:r w:rsidRPr="00585DB0">
        <w:rPr>
          <w:sz w:val="30"/>
          <w:szCs w:val="30"/>
        </w:rPr>
        <w:t xml:space="preserve"> и оказывает своими силами услуги по управлению им и по его технической эксплуатации. Члены экипажа являются работниками арендодателя и по вопросам управления и технической эксплуатации транспортного средства подчиняются распоряжениям арендодателя, а по вопросам, касающимся эксплуатации транспортного средства, распоряжениям арендатора. Договор аренды транспортного средства с экипажем должен быть заключен в письменной форме независимо от его срока.</w:t>
      </w:r>
    </w:p>
    <w:p w:rsidR="00AD331E" w:rsidRPr="00585DB0" w:rsidRDefault="00AD331E" w:rsidP="00AD33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85DB0">
        <w:rPr>
          <w:sz w:val="30"/>
          <w:szCs w:val="30"/>
        </w:rPr>
        <w:t>В силу</w:t>
      </w:r>
      <w:hyperlink r:id="rId17" w:history="1">
        <w:r w:rsidRPr="00585DB0">
          <w:rPr>
            <w:sz w:val="30"/>
            <w:szCs w:val="30"/>
          </w:rPr>
          <w:t xml:space="preserve"> статьи 741</w:t>
        </w:r>
      </w:hyperlink>
      <w:r w:rsidRPr="00585DB0">
        <w:rPr>
          <w:sz w:val="30"/>
          <w:szCs w:val="30"/>
        </w:rPr>
        <w:t xml:space="preserve"> ГК по договору фрахтования одна сторона (фрахтовщик) обязуется предоставить другой стороне (фрахтователю) за плату всю или часть вместимости одного или нескольких транспортных </w:t>
      </w:r>
      <w:r w:rsidRPr="00585DB0">
        <w:rPr>
          <w:sz w:val="30"/>
          <w:szCs w:val="30"/>
        </w:rPr>
        <w:lastRenderedPageBreak/>
        <w:t>средств на один или несколько рейсов для перевозки грузов, пассажиров и багажа.</w:t>
      </w:r>
    </w:p>
    <w:p w:rsidR="00AD331E" w:rsidRPr="00585DB0" w:rsidRDefault="00AD331E" w:rsidP="00AD33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85DB0">
        <w:rPr>
          <w:sz w:val="30"/>
          <w:szCs w:val="30"/>
        </w:rPr>
        <w:t xml:space="preserve">Требованиями статей 21, 26, 35 Закона установлено, что автомобильные перевозки пассажиров в нерегулярном сообщении, за исключением автомобильных перевозок пассажиров автомобилями-такси, выполняются на основании заключенного в установленном порядке договора фрахтования для автомобильной перевозки пассажиров с оформлением соответствующего заказ-наряда. </w:t>
      </w:r>
    </w:p>
    <w:p w:rsidR="00AD331E" w:rsidRPr="00585DB0" w:rsidRDefault="00AD331E" w:rsidP="00AD33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85DB0">
        <w:rPr>
          <w:sz w:val="30"/>
          <w:szCs w:val="30"/>
        </w:rPr>
        <w:t>Таким образом, субъект хозяйствования, предоставляющий арендатору транспортное средство во временное пользование, обязан заключить письменный договор аренды (фрахтования) и, осуществляя автомобильную перевозку пассажира, должен соответствовать требованиям, предъявляемым к автомобильному перевозчику, осуществляющему перевозку пассажиров в нерегулярном сообщении на основании договора фрахтования (в том числе оформить заказ-наряд).</w:t>
      </w:r>
    </w:p>
    <w:p w:rsidR="00AD331E" w:rsidRPr="00585DB0" w:rsidRDefault="00AD331E" w:rsidP="00AD33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85DB0">
        <w:rPr>
          <w:sz w:val="30"/>
          <w:szCs w:val="30"/>
        </w:rPr>
        <w:t>Автомобильные перевозки пассажиров в нерегулярном сообщении, выполняемые на условиях публичного договора, относятся к автомобильным перевозкам пассажиров автомобилями-такси.</w:t>
      </w:r>
    </w:p>
    <w:p w:rsidR="00AD331E" w:rsidRPr="00585DB0" w:rsidRDefault="00AD331E" w:rsidP="00AD33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85DB0">
        <w:rPr>
          <w:sz w:val="30"/>
          <w:szCs w:val="30"/>
        </w:rPr>
        <w:t>Следовательно, перевозка пассажиров, выполненная на условиях публичного договора, без соблюдения требовании, предъявляемых к перевозке пассажиров по договору аренды транспортного средства с экипажем (фрахтования), является перевозкой пассажиров автомобилями-такси, со всеми вытекающими из этого обязанностями.</w:t>
      </w:r>
    </w:p>
    <w:p w:rsidR="00AD331E" w:rsidRPr="00585DB0" w:rsidRDefault="00AD331E" w:rsidP="00AD33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85DB0">
        <w:rPr>
          <w:sz w:val="30"/>
          <w:szCs w:val="30"/>
        </w:rPr>
        <w:t>Направляется в порядке информирования.</w:t>
      </w:r>
    </w:p>
    <w:p w:rsidR="00AD331E" w:rsidRPr="00585DB0" w:rsidRDefault="00AD331E" w:rsidP="00AD331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</w:rPr>
      </w:pPr>
    </w:p>
    <w:p w:rsidR="00AD331E" w:rsidRPr="00585DB0" w:rsidRDefault="00AD331E" w:rsidP="00AD331E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85DB0">
        <w:rPr>
          <w:sz w:val="30"/>
          <w:szCs w:val="30"/>
        </w:rPr>
        <w:t>Заместитель Министра</w:t>
      </w:r>
      <w:r w:rsidRPr="00585DB0">
        <w:rPr>
          <w:sz w:val="30"/>
          <w:szCs w:val="30"/>
        </w:rPr>
        <w:tab/>
      </w:r>
      <w:r w:rsidRPr="00585DB0">
        <w:rPr>
          <w:sz w:val="30"/>
          <w:szCs w:val="30"/>
        </w:rPr>
        <w:tab/>
      </w:r>
      <w:r w:rsidRPr="00585DB0">
        <w:rPr>
          <w:sz w:val="30"/>
          <w:szCs w:val="30"/>
        </w:rPr>
        <w:tab/>
      </w:r>
      <w:r w:rsidRPr="00585DB0">
        <w:rPr>
          <w:sz w:val="30"/>
          <w:szCs w:val="30"/>
        </w:rPr>
        <w:tab/>
      </w:r>
      <w:r w:rsidRPr="00585DB0">
        <w:rPr>
          <w:sz w:val="30"/>
          <w:szCs w:val="30"/>
        </w:rPr>
        <w:tab/>
      </w:r>
      <w:r w:rsidRPr="00585DB0">
        <w:rPr>
          <w:sz w:val="30"/>
          <w:szCs w:val="30"/>
        </w:rPr>
        <w:tab/>
      </w:r>
      <w:proofErr w:type="spellStart"/>
      <w:r w:rsidRPr="00585DB0">
        <w:rPr>
          <w:sz w:val="30"/>
          <w:szCs w:val="30"/>
        </w:rPr>
        <w:t>В.В.Муквич</w:t>
      </w:r>
      <w:proofErr w:type="spellEnd"/>
    </w:p>
    <w:p w:rsidR="00AD331E" w:rsidRDefault="00AD331E" w:rsidP="00AD331E">
      <w:pPr>
        <w:autoSpaceDE w:val="0"/>
        <w:autoSpaceDN w:val="0"/>
        <w:adjustRightInd w:val="0"/>
        <w:jc w:val="both"/>
        <w:rPr>
          <w:sz w:val="20"/>
        </w:rPr>
      </w:pPr>
    </w:p>
    <w:p w:rsidR="00AD331E" w:rsidRPr="0041163E" w:rsidRDefault="00AD331E" w:rsidP="00AD331E">
      <w:pPr>
        <w:autoSpaceDE w:val="0"/>
        <w:autoSpaceDN w:val="0"/>
        <w:adjustRightInd w:val="0"/>
        <w:jc w:val="both"/>
        <w:rPr>
          <w:sz w:val="20"/>
        </w:rPr>
      </w:pPr>
    </w:p>
    <w:p w:rsidR="00AD331E" w:rsidRPr="00DB67CA" w:rsidRDefault="00AD331E" w:rsidP="00AD331E">
      <w:pPr>
        <w:rPr>
          <w:szCs w:val="18"/>
        </w:rPr>
      </w:pPr>
    </w:p>
    <w:p w:rsidR="00AD331E" w:rsidRDefault="00AD331E" w:rsidP="002068E7">
      <w:pPr>
        <w:spacing w:line="180" w:lineRule="exact"/>
        <w:rPr>
          <w:sz w:val="18"/>
          <w:szCs w:val="18"/>
        </w:rPr>
      </w:pPr>
    </w:p>
    <w:sectPr w:rsidR="00AD331E" w:rsidSect="003C506F">
      <w:headerReference w:type="even" r:id="rId18"/>
      <w:headerReference w:type="default" r:id="rId19"/>
      <w:pgSz w:w="11907" w:h="16840" w:code="9"/>
      <w:pgMar w:top="1134" w:right="567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1F6" w:rsidRDefault="003331F6">
      <w:r>
        <w:separator/>
      </w:r>
    </w:p>
  </w:endnote>
  <w:endnote w:type="continuationSeparator" w:id="0">
    <w:p w:rsidR="003331F6" w:rsidRDefault="0033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1F6" w:rsidRDefault="003331F6">
      <w:r>
        <w:separator/>
      </w:r>
    </w:p>
  </w:footnote>
  <w:footnote w:type="continuationSeparator" w:id="0">
    <w:p w:rsidR="003331F6" w:rsidRDefault="00333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31E" w:rsidRDefault="00D205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D331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D331E" w:rsidRDefault="00AD33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31E" w:rsidRDefault="00D205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D331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2765">
      <w:rPr>
        <w:rStyle w:val="a6"/>
        <w:noProof/>
      </w:rPr>
      <w:t>5</w:t>
    </w:r>
    <w:r>
      <w:rPr>
        <w:rStyle w:val="a6"/>
      </w:rPr>
      <w:fldChar w:fldCharType="end"/>
    </w:r>
  </w:p>
  <w:p w:rsidR="00AD331E" w:rsidRDefault="00AD33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822C0"/>
    <w:multiLevelType w:val="hybridMultilevel"/>
    <w:tmpl w:val="F4168C10"/>
    <w:lvl w:ilvl="0" w:tplc="6B8E9D02">
      <w:start w:val="1"/>
      <w:numFmt w:val="decimal"/>
      <w:lvlText w:val="%1."/>
      <w:lvlJc w:val="left"/>
      <w:pPr>
        <w:ind w:left="63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5F"/>
    <w:rsid w:val="000042C9"/>
    <w:rsid w:val="000067D9"/>
    <w:rsid w:val="00015609"/>
    <w:rsid w:val="00026103"/>
    <w:rsid w:val="000366BA"/>
    <w:rsid w:val="000549BD"/>
    <w:rsid w:val="000573D6"/>
    <w:rsid w:val="00063347"/>
    <w:rsid w:val="00067459"/>
    <w:rsid w:val="0009419B"/>
    <w:rsid w:val="000948E8"/>
    <w:rsid w:val="000A46FF"/>
    <w:rsid w:val="000B1AF1"/>
    <w:rsid w:val="000B534A"/>
    <w:rsid w:val="000E0D6F"/>
    <w:rsid w:val="000E17A3"/>
    <w:rsid w:val="000E78E6"/>
    <w:rsid w:val="000F3A59"/>
    <w:rsid w:val="0010295C"/>
    <w:rsid w:val="001070FC"/>
    <w:rsid w:val="00113B52"/>
    <w:rsid w:val="00121076"/>
    <w:rsid w:val="00126416"/>
    <w:rsid w:val="00133931"/>
    <w:rsid w:val="001355F8"/>
    <w:rsid w:val="0014017C"/>
    <w:rsid w:val="00140556"/>
    <w:rsid w:val="001409E6"/>
    <w:rsid w:val="00166E92"/>
    <w:rsid w:val="00177168"/>
    <w:rsid w:val="001C5C1E"/>
    <w:rsid w:val="001D3009"/>
    <w:rsid w:val="002068E7"/>
    <w:rsid w:val="002109E7"/>
    <w:rsid w:val="0022209C"/>
    <w:rsid w:val="00222B12"/>
    <w:rsid w:val="002234D9"/>
    <w:rsid w:val="00227057"/>
    <w:rsid w:val="00231F33"/>
    <w:rsid w:val="00250083"/>
    <w:rsid w:val="002552CC"/>
    <w:rsid w:val="0026389C"/>
    <w:rsid w:val="002666B2"/>
    <w:rsid w:val="00274EE3"/>
    <w:rsid w:val="002770B7"/>
    <w:rsid w:val="00284EF2"/>
    <w:rsid w:val="00285971"/>
    <w:rsid w:val="00294A43"/>
    <w:rsid w:val="002966AB"/>
    <w:rsid w:val="002A0C87"/>
    <w:rsid w:val="002A13E1"/>
    <w:rsid w:val="002A1F30"/>
    <w:rsid w:val="002B29B6"/>
    <w:rsid w:val="002C3538"/>
    <w:rsid w:val="002C6D3A"/>
    <w:rsid w:val="002C79EE"/>
    <w:rsid w:val="002E42B3"/>
    <w:rsid w:val="002E79B4"/>
    <w:rsid w:val="002F25D6"/>
    <w:rsid w:val="00303F62"/>
    <w:rsid w:val="003045E8"/>
    <w:rsid w:val="00311218"/>
    <w:rsid w:val="00324AC3"/>
    <w:rsid w:val="003278DD"/>
    <w:rsid w:val="003331F6"/>
    <w:rsid w:val="003562CD"/>
    <w:rsid w:val="0036177E"/>
    <w:rsid w:val="00365872"/>
    <w:rsid w:val="0036604D"/>
    <w:rsid w:val="00371802"/>
    <w:rsid w:val="00372C56"/>
    <w:rsid w:val="00373581"/>
    <w:rsid w:val="00392B5D"/>
    <w:rsid w:val="003A1A30"/>
    <w:rsid w:val="003A558D"/>
    <w:rsid w:val="003A5A8C"/>
    <w:rsid w:val="003C3619"/>
    <w:rsid w:val="003C506F"/>
    <w:rsid w:val="003D5CA7"/>
    <w:rsid w:val="003F1C10"/>
    <w:rsid w:val="003F5DEA"/>
    <w:rsid w:val="004052A3"/>
    <w:rsid w:val="00410DC6"/>
    <w:rsid w:val="00415EC1"/>
    <w:rsid w:val="00423278"/>
    <w:rsid w:val="004246F3"/>
    <w:rsid w:val="0043019B"/>
    <w:rsid w:val="0043542F"/>
    <w:rsid w:val="0044108D"/>
    <w:rsid w:val="00443E98"/>
    <w:rsid w:val="004449B2"/>
    <w:rsid w:val="00452765"/>
    <w:rsid w:val="004845BC"/>
    <w:rsid w:val="0048477D"/>
    <w:rsid w:val="00491B5C"/>
    <w:rsid w:val="00492240"/>
    <w:rsid w:val="004A7F26"/>
    <w:rsid w:val="004B57EA"/>
    <w:rsid w:val="004B5DAF"/>
    <w:rsid w:val="004E39CE"/>
    <w:rsid w:val="004E44F2"/>
    <w:rsid w:val="00510143"/>
    <w:rsid w:val="005123CE"/>
    <w:rsid w:val="005124FF"/>
    <w:rsid w:val="005313BB"/>
    <w:rsid w:val="005500E6"/>
    <w:rsid w:val="0056344A"/>
    <w:rsid w:val="00566DE1"/>
    <w:rsid w:val="00570BAD"/>
    <w:rsid w:val="00584543"/>
    <w:rsid w:val="00591F55"/>
    <w:rsid w:val="005A290B"/>
    <w:rsid w:val="005B6E61"/>
    <w:rsid w:val="005D2B05"/>
    <w:rsid w:val="005E1DFE"/>
    <w:rsid w:val="006101F3"/>
    <w:rsid w:val="0061608E"/>
    <w:rsid w:val="00624B62"/>
    <w:rsid w:val="0063420C"/>
    <w:rsid w:val="0063678B"/>
    <w:rsid w:val="006418ED"/>
    <w:rsid w:val="00656BF5"/>
    <w:rsid w:val="006716EE"/>
    <w:rsid w:val="00673669"/>
    <w:rsid w:val="006B68C4"/>
    <w:rsid w:val="006C4881"/>
    <w:rsid w:val="006C7E16"/>
    <w:rsid w:val="006E60AB"/>
    <w:rsid w:val="006E7E67"/>
    <w:rsid w:val="006F528D"/>
    <w:rsid w:val="006F7F8D"/>
    <w:rsid w:val="007105B6"/>
    <w:rsid w:val="0074187E"/>
    <w:rsid w:val="007466B3"/>
    <w:rsid w:val="007720D0"/>
    <w:rsid w:val="007808CA"/>
    <w:rsid w:val="007900EC"/>
    <w:rsid w:val="007A516E"/>
    <w:rsid w:val="007B7B9D"/>
    <w:rsid w:val="007C4291"/>
    <w:rsid w:val="007D4E37"/>
    <w:rsid w:val="008052B2"/>
    <w:rsid w:val="0082415E"/>
    <w:rsid w:val="0083274C"/>
    <w:rsid w:val="008365EF"/>
    <w:rsid w:val="00854B03"/>
    <w:rsid w:val="00863EAB"/>
    <w:rsid w:val="00865C50"/>
    <w:rsid w:val="008665D8"/>
    <w:rsid w:val="008729A5"/>
    <w:rsid w:val="00873182"/>
    <w:rsid w:val="008740D1"/>
    <w:rsid w:val="0087603A"/>
    <w:rsid w:val="00882FD0"/>
    <w:rsid w:val="00896B25"/>
    <w:rsid w:val="008A0B14"/>
    <w:rsid w:val="008A4417"/>
    <w:rsid w:val="008D4568"/>
    <w:rsid w:val="00900957"/>
    <w:rsid w:val="00913CB1"/>
    <w:rsid w:val="009220E1"/>
    <w:rsid w:val="00930F25"/>
    <w:rsid w:val="009324C2"/>
    <w:rsid w:val="00953D09"/>
    <w:rsid w:val="00957B83"/>
    <w:rsid w:val="009604C3"/>
    <w:rsid w:val="00963D6A"/>
    <w:rsid w:val="00972B1F"/>
    <w:rsid w:val="009772C7"/>
    <w:rsid w:val="009817DB"/>
    <w:rsid w:val="00985D6A"/>
    <w:rsid w:val="0098709E"/>
    <w:rsid w:val="009A4337"/>
    <w:rsid w:val="009B068A"/>
    <w:rsid w:val="009C4D0A"/>
    <w:rsid w:val="009D271F"/>
    <w:rsid w:val="009D3A60"/>
    <w:rsid w:val="009F70C3"/>
    <w:rsid w:val="009F7DA0"/>
    <w:rsid w:val="00A1770F"/>
    <w:rsid w:val="00A27876"/>
    <w:rsid w:val="00A361F6"/>
    <w:rsid w:val="00A5043B"/>
    <w:rsid w:val="00A52AC2"/>
    <w:rsid w:val="00A568B7"/>
    <w:rsid w:val="00A66833"/>
    <w:rsid w:val="00A7026A"/>
    <w:rsid w:val="00A7543A"/>
    <w:rsid w:val="00A801FC"/>
    <w:rsid w:val="00A93B6B"/>
    <w:rsid w:val="00AC40A8"/>
    <w:rsid w:val="00AC60C0"/>
    <w:rsid w:val="00AD0C6C"/>
    <w:rsid w:val="00AD331E"/>
    <w:rsid w:val="00AE4406"/>
    <w:rsid w:val="00AF3C88"/>
    <w:rsid w:val="00AF790C"/>
    <w:rsid w:val="00B12B01"/>
    <w:rsid w:val="00B148F4"/>
    <w:rsid w:val="00B24950"/>
    <w:rsid w:val="00B32CC6"/>
    <w:rsid w:val="00B35370"/>
    <w:rsid w:val="00B42017"/>
    <w:rsid w:val="00B42D20"/>
    <w:rsid w:val="00B50ACA"/>
    <w:rsid w:val="00B60F31"/>
    <w:rsid w:val="00B8228F"/>
    <w:rsid w:val="00B87A53"/>
    <w:rsid w:val="00B9275D"/>
    <w:rsid w:val="00B94273"/>
    <w:rsid w:val="00BB2FB4"/>
    <w:rsid w:val="00BC4113"/>
    <w:rsid w:val="00BE1B78"/>
    <w:rsid w:val="00BF2027"/>
    <w:rsid w:val="00BF4C20"/>
    <w:rsid w:val="00C014F3"/>
    <w:rsid w:val="00C06F8F"/>
    <w:rsid w:val="00C07027"/>
    <w:rsid w:val="00C10EDB"/>
    <w:rsid w:val="00C224B3"/>
    <w:rsid w:val="00C26828"/>
    <w:rsid w:val="00C3365F"/>
    <w:rsid w:val="00C45927"/>
    <w:rsid w:val="00C62DE6"/>
    <w:rsid w:val="00C7345D"/>
    <w:rsid w:val="00C74256"/>
    <w:rsid w:val="00C90FE3"/>
    <w:rsid w:val="00C95598"/>
    <w:rsid w:val="00CA2145"/>
    <w:rsid w:val="00CA61CD"/>
    <w:rsid w:val="00CB10CC"/>
    <w:rsid w:val="00CB374E"/>
    <w:rsid w:val="00CB6E01"/>
    <w:rsid w:val="00CC1243"/>
    <w:rsid w:val="00CD38E6"/>
    <w:rsid w:val="00CD6487"/>
    <w:rsid w:val="00CF4C5E"/>
    <w:rsid w:val="00D04C78"/>
    <w:rsid w:val="00D20503"/>
    <w:rsid w:val="00D24CED"/>
    <w:rsid w:val="00D25C93"/>
    <w:rsid w:val="00D32781"/>
    <w:rsid w:val="00D435E9"/>
    <w:rsid w:val="00D446EC"/>
    <w:rsid w:val="00D67EF9"/>
    <w:rsid w:val="00D731F3"/>
    <w:rsid w:val="00D74AF4"/>
    <w:rsid w:val="00D75B6C"/>
    <w:rsid w:val="00D76E50"/>
    <w:rsid w:val="00D80981"/>
    <w:rsid w:val="00D826FB"/>
    <w:rsid w:val="00D93ABE"/>
    <w:rsid w:val="00DA0AB5"/>
    <w:rsid w:val="00DB6D3C"/>
    <w:rsid w:val="00DC0B44"/>
    <w:rsid w:val="00DC2408"/>
    <w:rsid w:val="00DC2556"/>
    <w:rsid w:val="00DC5EC7"/>
    <w:rsid w:val="00DD0EC7"/>
    <w:rsid w:val="00DE2D10"/>
    <w:rsid w:val="00DF1F8B"/>
    <w:rsid w:val="00DF3675"/>
    <w:rsid w:val="00E100DD"/>
    <w:rsid w:val="00E13D4C"/>
    <w:rsid w:val="00E21A13"/>
    <w:rsid w:val="00E252F8"/>
    <w:rsid w:val="00E25B35"/>
    <w:rsid w:val="00E31B41"/>
    <w:rsid w:val="00E35623"/>
    <w:rsid w:val="00E37892"/>
    <w:rsid w:val="00E505D7"/>
    <w:rsid w:val="00E50FFE"/>
    <w:rsid w:val="00E56CC3"/>
    <w:rsid w:val="00E6413B"/>
    <w:rsid w:val="00E818D3"/>
    <w:rsid w:val="00E83013"/>
    <w:rsid w:val="00E945FE"/>
    <w:rsid w:val="00E95335"/>
    <w:rsid w:val="00E95BFB"/>
    <w:rsid w:val="00EA3CDA"/>
    <w:rsid w:val="00EA588D"/>
    <w:rsid w:val="00EA634C"/>
    <w:rsid w:val="00EB29FD"/>
    <w:rsid w:val="00EB4B24"/>
    <w:rsid w:val="00EC0D23"/>
    <w:rsid w:val="00ED088C"/>
    <w:rsid w:val="00EF11DE"/>
    <w:rsid w:val="00F115E8"/>
    <w:rsid w:val="00F13350"/>
    <w:rsid w:val="00F20E12"/>
    <w:rsid w:val="00F23D2B"/>
    <w:rsid w:val="00F325AA"/>
    <w:rsid w:val="00F427D9"/>
    <w:rsid w:val="00F46570"/>
    <w:rsid w:val="00F52516"/>
    <w:rsid w:val="00F54B4B"/>
    <w:rsid w:val="00F55700"/>
    <w:rsid w:val="00F659E2"/>
    <w:rsid w:val="00F76DFB"/>
    <w:rsid w:val="00F84318"/>
    <w:rsid w:val="00F85C08"/>
    <w:rsid w:val="00FA00C4"/>
    <w:rsid w:val="00FB198A"/>
    <w:rsid w:val="00FD57F3"/>
    <w:rsid w:val="00FE04FD"/>
    <w:rsid w:val="00FF0050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8FD38A6-5DF1-43BF-8262-8A6447F7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6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3D6A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4">
    <w:name w:val="header"/>
    <w:basedOn w:val="a"/>
    <w:link w:val="a5"/>
    <w:uiPriority w:val="99"/>
    <w:rsid w:val="00C3365F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36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uiPriority w:val="99"/>
    <w:rsid w:val="00C3365F"/>
    <w:rPr>
      <w:rFonts w:cs="Times New Roman"/>
    </w:rPr>
  </w:style>
  <w:style w:type="table" w:styleId="a7">
    <w:name w:val="Table Grid"/>
    <w:basedOn w:val="a1"/>
    <w:uiPriority w:val="59"/>
    <w:rsid w:val="00C3365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A634C"/>
    <w:rPr>
      <w:color w:val="0000FF" w:themeColor="hyperlink"/>
      <w:u w:val="single"/>
    </w:rPr>
  </w:style>
  <w:style w:type="paragraph" w:styleId="a9">
    <w:name w:val="Body Text Indent"/>
    <w:basedOn w:val="a"/>
    <w:link w:val="aa"/>
    <w:rsid w:val="00AD331E"/>
    <w:pPr>
      <w:spacing w:after="120"/>
      <w:ind w:left="283"/>
    </w:pPr>
    <w:rPr>
      <w:sz w:val="20"/>
    </w:rPr>
  </w:style>
  <w:style w:type="character" w:customStyle="1" w:styleId="aa">
    <w:name w:val="Основной текст с отступом Знак"/>
    <w:basedOn w:val="a0"/>
    <w:link w:val="a9"/>
    <w:rsid w:val="00AD33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D1A9DC3AED110D0186550F2205A01917E6F8FD1B1B0D90377DD5FAF3920BFE5BE910AEF7DAEEAAE86EFEF000m1DBN" TargetMode="External"/><Relationship Id="rId13" Type="http://schemas.openxmlformats.org/officeDocument/2006/relationships/hyperlink" Target="consultantplus://offline/ref=2AE06F1C5A204DEC87A5161F49A487EE64E913AFAC40085C52F2BC3B169F8BA4AD24B9C24C4CED9F932BC755C5r7CF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ED1A9DC3AED110D0186550F2205A01917E6F8FD1B1B0D90377DD5FAF3920BFE5BE910AEF7DAEEAAE86EFEF000m1DBN" TargetMode="External"/><Relationship Id="rId12" Type="http://schemas.openxmlformats.org/officeDocument/2006/relationships/hyperlink" Target="consultantplus://offline/ref=6A47D0884D2B63CD6C6F85F65C02E98C42804BE5DD1BECB2C29BC047D454164475D1EA46EAA3CB80CF81E03D0Fq9E5N" TargetMode="External"/><Relationship Id="rId17" Type="http://schemas.openxmlformats.org/officeDocument/2006/relationships/hyperlink" Target="consultantplus://offline/ref=B3E6355155DAE5BD89F3832C24B73A74D33E7BA290C47C9BBBEF395DB5A079647893D4013B9534CB3B8ACCFC2DJAp6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4036CD95AE12C6546A07A651305E3F51BD1A1781559608F8589821161431177882D4E016FD53D6C1CA089525FP6p5J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ED1A9DC3AED110D0186550F2205A01917E6F8FD1B1B0D90377DD5FAF3920BFE5BE910AEF7DAEEAAE86EFEF000m1DB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4036CD95AE12C6546A07A651305E3F51BD1A1781559608F8589821161431177882D4E016FD53D6C1CA089525DP6pAJ" TargetMode="External"/><Relationship Id="rId10" Type="http://schemas.openxmlformats.org/officeDocument/2006/relationships/hyperlink" Target="consultantplus://offline/ref=1ED1A9DC3AED110D0186550F2205A01917E6F8FD1B1B0D90377DD5FAF3920BFE5BE910AEF7DAEEAAE86EFEF000m1DBN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5D6ED8B56184D76107960C8D316A6E7D026AE6074A979959AD159D208D6AA99EE5043292FF715F7F1E104E33S3K7M" TargetMode="External"/><Relationship Id="rId14" Type="http://schemas.openxmlformats.org/officeDocument/2006/relationships/hyperlink" Target="consultantplus://offline/ref=2AE06F1C5A204DEC87A5161F49A487EE64E913AFAC40085C52F2BC3B169F8BA4AD24B9C24C4CED9F932BC755C5r7C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Ивановна</dc:creator>
  <cp:lastModifiedBy>Ирина Клезович</cp:lastModifiedBy>
  <cp:revision>2</cp:revision>
  <cp:lastPrinted>2018-11-22T07:53:00Z</cp:lastPrinted>
  <dcterms:created xsi:type="dcterms:W3CDTF">2020-02-08T16:05:00Z</dcterms:created>
  <dcterms:modified xsi:type="dcterms:W3CDTF">2020-02-08T16:05:00Z</dcterms:modified>
</cp:coreProperties>
</file>