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5C" w:rsidRDefault="0057185C" w:rsidP="0057185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413">
        <w:rPr>
          <w:rFonts w:ascii="Times New Roman" w:eastAsia="Times New Roman" w:hAnsi="Times New Roman" w:cs="Times New Roman"/>
          <w:b/>
          <w:bCs/>
          <w:lang w:eastAsia="ru-RU"/>
        </w:rPr>
        <w:t>НК РФ</w:t>
      </w:r>
    </w:p>
    <w:p w:rsidR="0057185C" w:rsidRPr="00A87413" w:rsidRDefault="0057185C" w:rsidP="0057185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413">
        <w:rPr>
          <w:rFonts w:ascii="Times New Roman" w:hAnsi="Times New Roman" w:cs="Times New Roman"/>
          <w:b/>
          <w:bCs/>
          <w:color w:val="22272F"/>
          <w:shd w:val="clear" w:color="auto" w:fill="FFFFFF"/>
        </w:rPr>
        <w:t>Глава 25. Налог на прибыль организаций</w:t>
      </w:r>
    </w:p>
    <w:p w:rsidR="0057185C" w:rsidRPr="003B40EA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>Статья 307</w:t>
      </w:r>
      <w:r w:rsidRPr="003B40EA"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>. </w:t>
      </w:r>
      <w:r w:rsidRPr="0057185C">
        <w:rPr>
          <w:rFonts w:ascii="Times New Roman" w:eastAsia="Times New Roman" w:hAnsi="Times New Roman" w:cs="Times New Roman"/>
          <w:b/>
          <w:bCs/>
          <w:i/>
          <w:color w:val="22272F"/>
          <w:lang w:eastAsia="ru-RU"/>
        </w:rPr>
        <w:t>Особенности налогообложения иностранных организаций, осуществляющих деятельность через постоянное представительство в Российской Федерации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color w:val="000000"/>
          <w:lang w:eastAsia="ru-RU"/>
        </w:rPr>
        <w:t>1. Объектом налогообложения для иностранных организаций, осуществляющих деятельность в Российской Федерации через постоянное представительство, признается: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доход, полученный иностранной организацией в результате осуществления деятельности на территории Российской Федерации через ее постоянное представительство, уменьшенный на величину произведенных этим постоянным представительством расходов, определяемых с учетом </w:t>
      </w:r>
      <w:r w:rsidRPr="0057185C">
        <w:rPr>
          <w:rFonts w:ascii="Times New Roman" w:eastAsia="Times New Roman" w:hAnsi="Times New Roman" w:cs="Times New Roman"/>
          <w:bCs/>
          <w:lang w:eastAsia="ru-RU"/>
        </w:rPr>
        <w:t>положений </w:t>
      </w:r>
      <w:hyperlink r:id="rId4" w:anchor="block_3074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пункта 4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настоящей статьи;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lang w:eastAsia="ru-RU"/>
        </w:rPr>
        <w:t>доходы иностранной организации от владения, пользования и (или) распоряжения имуществом постоянного представительства этой организации в Российской Федерации за вычетом расходов, связанных с получением таких доходов;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lang w:eastAsia="ru-RU"/>
        </w:rPr>
        <w:t>другие доходы от источников в Российской Федерации, указанные в </w:t>
      </w:r>
      <w:hyperlink r:id="rId5" w:anchor="block_309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пункте 1 статьи 309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настоящего Кодекса, относящиеся к постоянному представительству.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lang w:eastAsia="ru-RU"/>
        </w:rPr>
        <w:t>2. Налоговая база определяется как денежное выражение объекта налогообложения, установленного </w:t>
      </w:r>
      <w:hyperlink r:id="rId6" w:anchor="block_3071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пунктом 1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настоящей статьи.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lang w:eastAsia="ru-RU"/>
        </w:rPr>
        <w:t>При определении налоговой базы иностранной некоммерческой организации учитываются положения </w:t>
      </w:r>
      <w:hyperlink r:id="rId7" w:anchor="block_2512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пункта 2 статьи 251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настоящего Кодекса.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lang w:eastAsia="ru-RU"/>
        </w:rPr>
        <w:t xml:space="preserve">3. В случае, если иностранная организация осуществляет на территории Российской Федерации деятельность подготовительного </w:t>
      </w:r>
      <w:r w:rsidRPr="0057185C">
        <w:rPr>
          <w:rFonts w:ascii="Times New Roman" w:eastAsia="Times New Roman" w:hAnsi="Times New Roman" w:cs="Times New Roman"/>
          <w:bCs/>
          <w:color w:val="000000"/>
          <w:lang w:eastAsia="ru-RU"/>
        </w:rPr>
        <w:t>и (или) вспомогательного характера в интересах третьих лиц, приводящую к образованию постоянного представительства, и при этом в отношении такой деятельности не предусмотрено получение вознаграждения, налоговая база определяется в размере 20 процентов от суммы расходов этого постоянного представительства, связанных с такой деятельностью.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color w:val="000000"/>
          <w:lang w:eastAsia="ru-RU"/>
        </w:rPr>
        <w:t>4. При наличии у иностранной организации на территории Российской Федерации более чем одного отделения, деятельность через которые приводит к образованию постоянного представительства, налоговая база и сумма налога рассчитываются отдельно по каждому отделению.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случае, если иностранная организация осуществляет через такие отделения деятельность в рамках единого технологического процесса, или в других аналогичных случаях по согласованию с федеральным органом исполнительной власти, уполномоченным по контролю и надзору в области налогов и сборов, такая организация вправе рассчитывать налогооблагаемую прибыль, относящуюся к ее деятельности через отделение на территории Российской Федерации, в целом по группе таких отделений (в том числе по всем </w:t>
      </w:r>
      <w:r w:rsidRPr="0057185C">
        <w:rPr>
          <w:rFonts w:ascii="Times New Roman" w:eastAsia="Times New Roman" w:hAnsi="Times New Roman" w:cs="Times New Roman"/>
          <w:bCs/>
          <w:lang w:eastAsia="ru-RU"/>
        </w:rPr>
        <w:t>отделениям) при условии применения всеми включенными в группу отделениями единой учетной политики в целях налогообложения. При этом иностранная организация самостоятельно определяет, какое из отделений будет вести налоговый учет, а также представлять </w:t>
      </w:r>
      <w:hyperlink r:id="rId8" w:anchor="block_1000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налоговые декларации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по месту нахождения каждого отделения. Сумма налога на прибыль, подлежащая уплате в бюджет в таком случае, распределяется между отделениями в общем порядке, предусмотренном </w:t>
      </w:r>
      <w:hyperlink r:id="rId9" w:anchor="block_288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статьей 288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 xml:space="preserve"> настоящего Кодекса. При этом не учитываются стоимость основных средств и нематериальных активов, а </w:t>
      </w:r>
      <w:r w:rsidRPr="0057185C">
        <w:rPr>
          <w:rFonts w:ascii="Times New Roman" w:eastAsia="Times New Roman" w:hAnsi="Times New Roman" w:cs="Times New Roman"/>
          <w:bCs/>
          <w:color w:val="000000"/>
          <w:lang w:eastAsia="ru-RU"/>
        </w:rPr>
        <w:t>также среднесписочная численность работников (фонд оплаты труда работников), не относящихся к деятельности иностранной организации на территории Российской Федерации через постоянное представительство.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Иностранная организация - оператор нового морского месторождения углеводородного сырья, осуществляющая более чем через одно отделение </w:t>
      </w:r>
      <w:r w:rsidRPr="0057185C">
        <w:rPr>
          <w:rFonts w:ascii="Times New Roman" w:eastAsia="Times New Roman" w:hAnsi="Times New Roman" w:cs="Times New Roman"/>
          <w:bCs/>
          <w:lang w:eastAsia="ru-RU"/>
        </w:rPr>
        <w:t>деятельность на территории Российской Федерации (или признаваемую таковой в соответствии с </w:t>
      </w:r>
      <w:hyperlink r:id="rId10" w:anchor="block_3062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пунктом 2 статьи 306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 xml:space="preserve"> настоящего Кодекса), связанную с добычей углеводородного сырья на указанном новом морском месторождении углеводородного сырья, вправе определять налоговую базу по такой деятельности, относящейся к одному и тому же новому морскому месторождению углеводородного сырья, в целом по группе таких отделений (в том числе по всем отделениям) при условии применения всеми включенными в группу отделениями единой учетной политики в целях налогообложения. При этом иностранная организация самостоятельно определяет, какое из отделений будет вести налоговый учет и представлять налоговые декларации по месту нахождения каждого отделения. В этом случае уплата налога производится через одно из таких отделений по выбору налогоплательщика. Уведомление о выборе отделения, через которое производится уплата налога, направляется </w:t>
      </w:r>
      <w:r w:rsidRPr="0057185C">
        <w:rPr>
          <w:rFonts w:ascii="Times New Roman" w:eastAsia="Times New Roman" w:hAnsi="Times New Roman" w:cs="Times New Roman"/>
          <w:bCs/>
          <w:lang w:eastAsia="ru-RU"/>
        </w:rPr>
        <w:lastRenderedPageBreak/>
        <w:t>налогоплательщиком в налоговые органы по месту нахождения каждого из отделений до 30 ноября года, предшествующего налоговому периоду.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lang w:eastAsia="ru-RU"/>
        </w:rPr>
        <w:t>5. Иностранные организации, осуществляющие деятельность в Российской Федерации через постоянное представительство, применяют положения, предусмотренные </w:t>
      </w:r>
      <w:hyperlink r:id="rId11" w:anchor="block_280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статьями 280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12" w:anchor="block_283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283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настоящего Кодекса.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6. </w:t>
      </w:r>
      <w:r w:rsidRPr="0057185C">
        <w:rPr>
          <w:rFonts w:ascii="Times New Roman" w:eastAsia="Times New Roman" w:hAnsi="Times New Roman" w:cs="Times New Roman"/>
          <w:bCs/>
          <w:lang w:eastAsia="ru-RU"/>
        </w:rPr>
        <w:t>Иностранные организации, осуществляющие деятельность в Российской Федерации через постоянное представительство, уплачивают налог по ставкам, установленным </w:t>
      </w:r>
      <w:hyperlink r:id="rId13" w:anchor="block_284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пунктом 1 статьи 284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настоящего Кодекса, за исключением доходов, перечисленных в </w:t>
      </w:r>
      <w:hyperlink r:id="rId14" w:anchor="block_30911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подпунктах 1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15" w:anchor="block_30912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2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, </w:t>
      </w:r>
      <w:hyperlink r:id="rId16" w:anchor="block_309132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абзаце втором подпункта 3 пункта 1 статьи 309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настоящего Кодекса. Указанные доходы, относящиеся к постоянному представительству, облагаются налогом отдельно от других доходов по ставкам, установленным </w:t>
      </w:r>
      <w:hyperlink r:id="rId17" w:anchor="block_28432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подпунктом 3 пункта 3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и </w:t>
      </w:r>
      <w:hyperlink r:id="rId18" w:anchor="block_2844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пунктом 4 статьи 284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настоящего Кодекса.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lang w:eastAsia="ru-RU"/>
        </w:rPr>
        <w:t>7. При включении в сумму прибыли иностранной организации доходов, с которых в соответствии со </w:t>
      </w:r>
      <w:hyperlink r:id="rId19" w:anchor="block_309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статьей 309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настоящего Кодекса был фактически удержан и перечислен в бюджетную систему Российской Федерации на соответствующий счет Федерального казначейства, налог, сумма налога, подлежащая уплате этой организацией, уменьшается на сумму удержанного налога. В случае, если сумма удержанного в налоговом периоде налога превышает сумму налога за этот период, сумма излишне уплаченного налога подлежит возврату или зачету в счет будущих налоговых платежей этой организации в порядке, предусмотренном </w:t>
      </w:r>
      <w:hyperlink r:id="rId20" w:anchor="block_78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статьей 78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настоящего Кодекса.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lang w:eastAsia="ru-RU"/>
        </w:rPr>
        <w:t>8. Иностранные организации, осуществляющие деятельность в Российской Федерации через постоянное представительство, уплачивают авансовые платежи и налог в порядке, предусмотренном </w:t>
      </w:r>
      <w:hyperlink r:id="rId21" w:anchor="block_286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статьями 286 и 287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настоящего Кодекса.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hyperlink r:id="rId22" w:anchor="block_1000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Налоговая декларация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по итогам налогового (отчетного) периода, а также </w:t>
      </w:r>
      <w:hyperlink r:id="rId23" w:anchor="block_1000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годовой отчет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о деятельности в Российской Федерации по форме, утверждаемой федеральным органом исполнительной власти, уполномоченным по контролю и надзору в области налогов и сборов, представляются иностранной организацией, осуществляющей деятельность в Российской Федерации через постоянное представительство, в налоговый орган по месту нахождения постоянного представительства этой организации в порядке и в сроки, установленные </w:t>
      </w:r>
      <w:hyperlink r:id="rId24" w:anchor="block_289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статьей 289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 настоящего Кодекса.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lang w:eastAsia="ru-RU"/>
        </w:rPr>
        <w:t>Абзац третий </w:t>
      </w:r>
      <w:hyperlink r:id="rId25" w:anchor="block_24" w:history="1">
        <w:r w:rsidRPr="0057185C">
          <w:rPr>
            <w:rFonts w:ascii="Times New Roman" w:eastAsia="Times New Roman" w:hAnsi="Times New Roman" w:cs="Times New Roman"/>
            <w:bCs/>
            <w:lang w:eastAsia="ru-RU"/>
          </w:rPr>
          <w:t>исключен</w:t>
        </w:r>
      </w:hyperlink>
      <w:r w:rsidRPr="0057185C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lang w:eastAsia="ru-RU"/>
        </w:rPr>
        <w:t>При прекращении деятельности постоянного представительства иностранной организации в Российской Федерации до окончания налогового периода налоговая декларация за последний отчетный период представляется иностранной организацией в течение месяца со дня прекращения деятельности постоянного представительства.</w:t>
      </w:r>
    </w:p>
    <w:p w:rsidR="0057185C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lang w:eastAsia="ru-RU"/>
        </w:rPr>
        <w:t xml:space="preserve">9. Если предпринимательская </w:t>
      </w:r>
      <w:r w:rsidRPr="0057185C">
        <w:rPr>
          <w:rFonts w:ascii="Times New Roman" w:eastAsia="Times New Roman" w:hAnsi="Times New Roman" w:cs="Times New Roman"/>
          <w:bCs/>
          <w:color w:val="000000"/>
          <w:lang w:eastAsia="ru-RU"/>
        </w:rPr>
        <w:t>деятельность иностранной организации на территории Российской Федерации в соответствии с настоящим Кодексом или положениями международного договора Российской Федерации по вопросам налогообложения приводит к возникновению на территории Российской Федерации постоянного представительства, то определение доходов такого постоянного представительства, подлежащих налогообложению в Российской Федерации, производится с учетом выполняемых в Российской Федерации функций, используемых активов и принимаемых экономических (коммерческих) рисков.</w:t>
      </w:r>
    </w:p>
    <w:p w:rsidR="00C900B8" w:rsidRPr="0057185C" w:rsidRDefault="0057185C" w:rsidP="00571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57185C">
        <w:rPr>
          <w:rFonts w:ascii="Times New Roman" w:eastAsia="Times New Roman" w:hAnsi="Times New Roman" w:cs="Times New Roman"/>
          <w:bCs/>
          <w:color w:val="000000"/>
          <w:lang w:eastAsia="ru-RU"/>
        </w:rPr>
        <w:t>Указанные в настоящем пункте обстоятельства принимаются во внимание при распределении доходов и расходов между иностранной организацией и ее постоянным представительством в Российской Федер</w:t>
      </w:r>
      <w:bookmarkStart w:id="0" w:name="_GoBack"/>
      <w:bookmarkEnd w:id="0"/>
      <w:r w:rsidRPr="0057185C">
        <w:rPr>
          <w:rFonts w:ascii="Times New Roman" w:eastAsia="Times New Roman" w:hAnsi="Times New Roman" w:cs="Times New Roman"/>
          <w:bCs/>
          <w:color w:val="000000"/>
          <w:lang w:eastAsia="ru-RU"/>
        </w:rPr>
        <w:t>ации.</w:t>
      </w:r>
    </w:p>
    <w:sectPr w:rsidR="00C900B8" w:rsidRPr="0057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FF"/>
    <w:rsid w:val="0057185C"/>
    <w:rsid w:val="00C900B8"/>
    <w:rsid w:val="00C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BC89"/>
  <w15:chartTrackingRefBased/>
  <w15:docId w15:val="{024869DA-39E3-4DD2-9C6E-A579F2C8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5C"/>
  </w:style>
  <w:style w:type="paragraph" w:styleId="4">
    <w:name w:val="heading 4"/>
    <w:basedOn w:val="a"/>
    <w:link w:val="40"/>
    <w:uiPriority w:val="9"/>
    <w:qFormat/>
    <w:rsid w:val="005718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18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57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7185C"/>
  </w:style>
  <w:style w:type="paragraph" w:customStyle="1" w:styleId="s9">
    <w:name w:val="s_9"/>
    <w:basedOn w:val="a"/>
    <w:rsid w:val="0057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7185C"/>
    <w:rPr>
      <w:color w:val="0000FF"/>
      <w:u w:val="single"/>
    </w:rPr>
  </w:style>
  <w:style w:type="paragraph" w:customStyle="1" w:styleId="s1">
    <w:name w:val="s_1"/>
    <w:basedOn w:val="a"/>
    <w:rsid w:val="0057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7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5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40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6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1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8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1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4184/53f89421bbdaf741eb2d1ecc4ddb4c33/" TargetMode="External"/><Relationship Id="rId13" Type="http://schemas.openxmlformats.org/officeDocument/2006/relationships/hyperlink" Target="http://base.garant.ru/10900200/8c70e67a1baf4df060d06da1331e0835/" TargetMode="External"/><Relationship Id="rId18" Type="http://schemas.openxmlformats.org/officeDocument/2006/relationships/hyperlink" Target="http://base.garant.ru/10900200/8c70e67a1baf4df060d06da1331e0835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0900200/d1da35aacc37ad57144ccdc7eeb33c4f/" TargetMode="External"/><Relationship Id="rId7" Type="http://schemas.openxmlformats.org/officeDocument/2006/relationships/hyperlink" Target="http://base.garant.ru/10900200/57d7fb69cad1d16755d39d2aae86cc1c/" TargetMode="External"/><Relationship Id="rId12" Type="http://schemas.openxmlformats.org/officeDocument/2006/relationships/hyperlink" Target="http://base.garant.ru/10900200/b5433770851c5a00afd7fbf7ec7d8c96/" TargetMode="External"/><Relationship Id="rId17" Type="http://schemas.openxmlformats.org/officeDocument/2006/relationships/hyperlink" Target="http://base.garant.ru/10900200/8c70e67a1baf4df060d06da1331e0835/" TargetMode="External"/><Relationship Id="rId25" Type="http://schemas.openxmlformats.org/officeDocument/2006/relationships/hyperlink" Target="http://base.garant.ru/12126917/1cafb24d049dcd1e7707a22d98e9858f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0900200/9a67edcaa8baf0da3c0ab1a2dfcdd481/" TargetMode="External"/><Relationship Id="rId20" Type="http://schemas.openxmlformats.org/officeDocument/2006/relationships/hyperlink" Target="http://base.garant.ru/10900200/752e622936b6929dee42bef0dcb0905a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0900200/7d3a0ce548ddfbcb25a372a588330aef/" TargetMode="External"/><Relationship Id="rId11" Type="http://schemas.openxmlformats.org/officeDocument/2006/relationships/hyperlink" Target="http://base.garant.ru/10900200/ec9561bc1cc4447b1920d624bcdb5435/" TargetMode="External"/><Relationship Id="rId24" Type="http://schemas.openxmlformats.org/officeDocument/2006/relationships/hyperlink" Target="http://base.garant.ru/10900200/c488244d40b55a4df4fa4e26041f383c/" TargetMode="External"/><Relationship Id="rId5" Type="http://schemas.openxmlformats.org/officeDocument/2006/relationships/hyperlink" Target="http://base.garant.ru/10900200/9a67edcaa8baf0da3c0ab1a2dfcdd481/" TargetMode="External"/><Relationship Id="rId15" Type="http://schemas.openxmlformats.org/officeDocument/2006/relationships/hyperlink" Target="http://base.garant.ru/10900200/9a67edcaa8baf0da3c0ab1a2dfcdd481/" TargetMode="External"/><Relationship Id="rId23" Type="http://schemas.openxmlformats.org/officeDocument/2006/relationships/hyperlink" Target="http://base.garant.ru/12134225/53f89421bbdaf741eb2d1ecc4ddb4c33/" TargetMode="External"/><Relationship Id="rId10" Type="http://schemas.openxmlformats.org/officeDocument/2006/relationships/hyperlink" Target="http://base.garant.ru/10900200/a5957f5b151ce69b04e14ae89e8ea654/" TargetMode="External"/><Relationship Id="rId19" Type="http://schemas.openxmlformats.org/officeDocument/2006/relationships/hyperlink" Target="http://base.garant.ru/10900200/9a67edcaa8baf0da3c0ab1a2dfcdd481/" TargetMode="External"/><Relationship Id="rId4" Type="http://schemas.openxmlformats.org/officeDocument/2006/relationships/hyperlink" Target="http://base.garant.ru/10900200/7d3a0ce548ddfbcb25a372a588330aef/" TargetMode="External"/><Relationship Id="rId9" Type="http://schemas.openxmlformats.org/officeDocument/2006/relationships/hyperlink" Target="http://base.garant.ru/10900200/c213139affad4ad79d963d93ec772aca/" TargetMode="External"/><Relationship Id="rId14" Type="http://schemas.openxmlformats.org/officeDocument/2006/relationships/hyperlink" Target="http://base.garant.ru/10900200/9a67edcaa8baf0da3c0ab1a2dfcdd481/" TargetMode="External"/><Relationship Id="rId22" Type="http://schemas.openxmlformats.org/officeDocument/2006/relationships/hyperlink" Target="http://base.garant.ru/12134184/53f89421bbdaf741eb2d1ecc4ddb4c33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1251</Words>
  <Characters>8489</Characters>
  <Application>Microsoft Office Word</Application>
  <DocSecurity>0</DocSecurity>
  <Lines>207</Lines>
  <Paragraphs>120</Paragraphs>
  <ScaleCrop>false</ScaleCrop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2</cp:revision>
  <dcterms:created xsi:type="dcterms:W3CDTF">2020-09-15T10:45:00Z</dcterms:created>
  <dcterms:modified xsi:type="dcterms:W3CDTF">2020-09-15T10:49:00Z</dcterms:modified>
</cp:coreProperties>
</file>