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5C" w:rsidRDefault="0057185C" w:rsidP="0057185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/>
          <w:bCs/>
          <w:lang w:eastAsia="ru-RU"/>
        </w:rPr>
        <w:t>НК РФ</w:t>
      </w:r>
    </w:p>
    <w:p w:rsidR="0057185C" w:rsidRPr="00A87413" w:rsidRDefault="0057185C" w:rsidP="0057185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hAnsi="Times New Roman" w:cs="Times New Roman"/>
          <w:b/>
          <w:bCs/>
          <w:color w:val="22272F"/>
          <w:shd w:val="clear" w:color="auto" w:fill="FFFFFF"/>
        </w:rPr>
        <w:t>Глава 25. Налог на прибыль организаций</w:t>
      </w:r>
    </w:p>
    <w:p w:rsidR="0057185C" w:rsidRPr="003B40EA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Статья 307</w:t>
      </w:r>
      <w:r w:rsidRPr="003B40EA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. </w:t>
      </w:r>
      <w:r w:rsidRPr="0057185C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Особенности налогообложения иностранных организаций, осуществляющих деятельность через постоянное представительство в Российской Федерации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>1. Объектом налогообложения для иностранных организаций, осуществляющих деятельность в Российской Федерации через постоянное представительство, признается: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доход, полученный иностранной организацией в результате осуществления деятельности на территории Российской Федерации через ее постоянное представительство, уменьшенный на величину произведенных этим постоянным представительством расходов, определяемых с учетом </w:t>
      </w:r>
      <w:r w:rsidRPr="0057185C">
        <w:rPr>
          <w:rFonts w:ascii="Times New Roman" w:eastAsia="Times New Roman" w:hAnsi="Times New Roman" w:cs="Times New Roman"/>
          <w:bCs/>
          <w:lang w:eastAsia="ru-RU"/>
        </w:rPr>
        <w:t>положений </w:t>
      </w:r>
      <w:hyperlink r:id="rId4" w:anchor="block_3074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пункта 4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настоящей статьи;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доходы иностранной организации от владения, пользования и (или) распоряжения имуществом постоянного представительства этой организации в Российской Федерации за вычетом расходов, связанных с получением таких доходов;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другие доходы от источников в Российской Федерации, указанные в </w:t>
      </w:r>
      <w:hyperlink r:id="rId5" w:anchor="block_309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пункте 1 статьи 309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Кодекса, относящиеся к постоянному представительству.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2. Налоговая база определяется как денежное выражение объекта налогообложения, установленного </w:t>
      </w:r>
      <w:hyperlink r:id="rId6" w:anchor="block_3071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пунктом 1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настоящей статьи.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При определении налоговой базы иностранной некоммерческой организации учитываются положения </w:t>
      </w:r>
      <w:hyperlink r:id="rId7" w:anchor="block_2512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пункта 2 статьи 251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 xml:space="preserve">3. В случае, если иностранная организация осуществляет на территории Российской Федерации деятельность подготовительного </w:t>
      </w: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>и (или) вспомогательного характера в интересах третьих лиц, приводящую к образованию постоянного представительства, и при этом в отношении такой деятельности не предусмотрено получение вознаграждения, налоговая база определяется в размере 20 процентов от суммы расходов этого постоянного представительства, связанных с такой деятельностью.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>4. При наличии у иностранной организации на территории Российской Федерации более чем одного отделения, деятельность через которые приводит к образованию постоянного представительства, налоговая база и сумма налога рассчитываются отдельно по каждому отделению.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случае, если иностранная организация осуществляет через такие отделения деятельность в рамках единого технологического процесса, или в других аналогичных случаях по согласованию с федеральным органом исполнительной власти, уполномоченным по контролю и надзору в области налогов и сборов, такая организация вправе рассчитывать налогооблагаемую прибыль, относящуюся к ее деятельности через отделение на территории Российской Федерации, в целом по группе таких отделений (в том числе по всем </w:t>
      </w:r>
      <w:r w:rsidRPr="0057185C">
        <w:rPr>
          <w:rFonts w:ascii="Times New Roman" w:eastAsia="Times New Roman" w:hAnsi="Times New Roman" w:cs="Times New Roman"/>
          <w:bCs/>
          <w:lang w:eastAsia="ru-RU"/>
        </w:rPr>
        <w:t>отделениям) при условии применения всеми включенными в группу отделениями единой учетной политики в целях налогообложения. При этом иностранная организация самостоятельно определяет, какое из отделений будет вести налоговый учет, а также представлять </w:t>
      </w:r>
      <w:hyperlink r:id="rId8" w:anchor="block_1000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налоговые декларации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по месту нахождения каждого отделения. Сумма налога на прибыль, подлежащая уплате в бюджет в таком случае, распределяется между отделениями в общем порядке, предусмотренном </w:t>
      </w:r>
      <w:hyperlink r:id="rId9" w:anchor="block_288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статьей 288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 xml:space="preserve"> настоящего Кодекса. При этом не учитываются стоимость основных средств и нематериальных активов, а </w:t>
      </w: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>также среднесписочная численность работников (фонд оплаты труда работников), не относящихся к деятельности иностранной организации на территории Российской Федерации через постоянное представительство.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Иностранная организация - оператор нового морского месторождения углеводородного сырья, осуществляющая более чем через одно отделение </w:t>
      </w:r>
      <w:r w:rsidRPr="0057185C">
        <w:rPr>
          <w:rFonts w:ascii="Times New Roman" w:eastAsia="Times New Roman" w:hAnsi="Times New Roman" w:cs="Times New Roman"/>
          <w:bCs/>
          <w:lang w:eastAsia="ru-RU"/>
        </w:rPr>
        <w:t>деятельность на территории Российской Федерации (или признаваемую таковой в соответствии с </w:t>
      </w:r>
      <w:hyperlink r:id="rId10" w:anchor="block_3062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пунктом 2 статьи 306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 xml:space="preserve"> настоящего Кодекса), связанную с добычей углеводородного сырья на указанном новом морском месторождении углеводородного сырья, вправе определять налоговую базу по такой деятельности, относящейся к одному и тому же новому морскому месторождению углеводородного сырья, в целом по группе таких отделений (в том числе по всем отделениям) при условии применения всеми включенными в группу отделениями единой учетной политики в целях налогообложения. При этом иностранная организация самостоятельно определяет, какое из отделений будет вести налоговый учет и представлять налоговые декларации по месту нахождения каждого отделения. В этом случае уплата налога производится через одно из таких отделений по выбору налогоплательщика. Уведомление о выборе отделения, через которое производится уплата налога, направляется </w:t>
      </w:r>
      <w:r w:rsidRPr="0057185C">
        <w:rPr>
          <w:rFonts w:ascii="Times New Roman" w:eastAsia="Times New Roman" w:hAnsi="Times New Roman" w:cs="Times New Roman"/>
          <w:bCs/>
          <w:lang w:eastAsia="ru-RU"/>
        </w:rPr>
        <w:lastRenderedPageBreak/>
        <w:t>налогоплательщиком в налоговые органы по месту нахождения каждого из отделений до 30 ноября года, предшествующего налоговому периоду.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5. Иностранные организации, осуществляющие деятельность в Российской Федерации через постоянное представительство, применяют положения, предусмотренные </w:t>
      </w:r>
      <w:hyperlink r:id="rId11" w:anchor="block_280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статьями 280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, </w:t>
      </w:r>
      <w:hyperlink r:id="rId12" w:anchor="block_283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283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6. </w:t>
      </w:r>
      <w:r w:rsidRPr="0057185C">
        <w:rPr>
          <w:rFonts w:ascii="Times New Roman" w:eastAsia="Times New Roman" w:hAnsi="Times New Roman" w:cs="Times New Roman"/>
          <w:bCs/>
          <w:lang w:eastAsia="ru-RU"/>
        </w:rPr>
        <w:t>Иностранные организации, осуществляющие деятельность в Российской Федерации через постоянное представительство, уплачивают налог по ставкам, установленным </w:t>
      </w:r>
      <w:hyperlink r:id="rId13" w:anchor="block_284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пунктом 1 статьи 284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Кодекса, за исключением доходов, перечисленных в </w:t>
      </w:r>
      <w:hyperlink r:id="rId14" w:anchor="block_30911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подпунктах 1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, </w:t>
      </w:r>
      <w:hyperlink r:id="rId15" w:anchor="block_30912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2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, </w:t>
      </w:r>
      <w:hyperlink r:id="rId16" w:anchor="block_309132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абзаце втором подпункта 3 пункта 1 статьи 309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Кодекса. Указанные доходы, относящиеся к постоянному представительству, облагаются налогом отдельно от других доходов по ставкам, установленным </w:t>
      </w:r>
      <w:hyperlink r:id="rId17" w:anchor="block_28432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подпунктом 3 пункта 3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18" w:anchor="block_2844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пунктом 4 статьи 284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7. При включении в сумму прибыли иностранной организации доходов, с которых в соответствии со </w:t>
      </w:r>
      <w:hyperlink r:id="rId19" w:anchor="block_309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статьей 309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 был фактически удержан и перечислен в бюджетную систему Российской Федерации на соответствующий счет Федерального казначейства, налог, сумма налога, подлежащая уплате этой организацией, уменьшается на сумму удержанного налога. В случае, если сумма удержанного в налоговом периоде налога превышает сумму налога за этот период, сумма излишне уплаченного налога подлежит возврату или зачету в счет будущих налоговых платежей этой организации в порядке, предусмотренном </w:t>
      </w:r>
      <w:hyperlink r:id="rId20" w:anchor="block_78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статьей 78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8. Иностранные организации, осуществляющие деятельность в Российской Федерации через постоянное представительство, уплачивают авансовые платежи и налог в порядке, предусмотренном </w:t>
      </w:r>
      <w:hyperlink r:id="rId21" w:anchor="block_286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статьями 286 и 287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22" w:anchor="block_1000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Налоговая декларация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по итогам налогового (отчетного) периода, а также </w:t>
      </w:r>
      <w:hyperlink r:id="rId23" w:anchor="block_1000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годовой отчет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о деятельности в Российской Федерации по форме, утверждаемой федеральным органом исполнительной власти, уполномоченным по контролю и надзору в области налогов и сборов, представляются иностранной организацией, осуществляющей деятельность в Российской Федерации через постоянное представительство, в налоговый орган по месту нахождения постоянного представительства этой организации в порядке и в сроки, установленные </w:t>
      </w:r>
      <w:hyperlink r:id="rId24" w:anchor="block_289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статьей 289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Абзац третий </w:t>
      </w:r>
      <w:hyperlink r:id="rId25" w:anchor="block_24" w:history="1">
        <w:r w:rsidRPr="0057185C">
          <w:rPr>
            <w:rFonts w:ascii="Times New Roman" w:eastAsia="Times New Roman" w:hAnsi="Times New Roman" w:cs="Times New Roman"/>
            <w:bCs/>
            <w:lang w:eastAsia="ru-RU"/>
          </w:rPr>
          <w:t>исключен</w:t>
        </w:r>
      </w:hyperlink>
      <w:r w:rsidRPr="0057185C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>При прекращении деятельности постоянного представительства иностранной организации в Российской Федерации до окончания налогового периода налоговая декларация за последний отчетный период представляется иностранной организацией в течение месяца со дня прекращения деятельности постоянного представительства.</w:t>
      </w:r>
    </w:p>
    <w:p w:rsidR="0057185C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lang w:eastAsia="ru-RU"/>
        </w:rPr>
        <w:t xml:space="preserve">9. Если предпринимательская </w:t>
      </w: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>деятельность иностранной организации на территории Российской Федерации в соответствии с настоящим Кодексом или положениями международного договора Российской Федерации по вопросам налогообложения приводит к возникновению на территории Российской Федерации постоянного представительства, то определение доходов такого постоянного представительства, подлежащих налогообложению в Российской Федерации, производится с учетом выполняемых в Российской Федерации функций, используемых активов и принимаемых экономических (коммерческих) рисков.</w:t>
      </w:r>
    </w:p>
    <w:p w:rsidR="00C900B8" w:rsidRPr="0057185C" w:rsidRDefault="0057185C" w:rsidP="0057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>Указанные в настоящем пункте обстоятельства принимаются во внимание при распределении доходов и расходов между иностранной организацией и ее постоянным представительством в Российской Федер</w:t>
      </w:r>
      <w:bookmarkStart w:id="0" w:name="_GoBack"/>
      <w:bookmarkEnd w:id="0"/>
      <w:r w:rsidRPr="0057185C">
        <w:rPr>
          <w:rFonts w:ascii="Times New Roman" w:eastAsia="Times New Roman" w:hAnsi="Times New Roman" w:cs="Times New Roman"/>
          <w:bCs/>
          <w:color w:val="000000"/>
          <w:lang w:eastAsia="ru-RU"/>
        </w:rPr>
        <w:t>ации.</w:t>
      </w:r>
    </w:p>
    <w:sectPr w:rsidR="00C900B8" w:rsidRPr="0057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FF"/>
    <w:rsid w:val="0057185C"/>
    <w:rsid w:val="00C900B8"/>
    <w:rsid w:val="00CC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BC89"/>
  <w15:chartTrackingRefBased/>
  <w15:docId w15:val="{024869DA-39E3-4DD2-9C6E-A579F2C8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5C"/>
  </w:style>
  <w:style w:type="paragraph" w:styleId="4">
    <w:name w:val="heading 4"/>
    <w:basedOn w:val="a"/>
    <w:link w:val="40"/>
    <w:uiPriority w:val="9"/>
    <w:qFormat/>
    <w:rsid w:val="00571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8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5">
    <w:name w:val="s_15"/>
    <w:basedOn w:val="a"/>
    <w:rsid w:val="00571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7185C"/>
  </w:style>
  <w:style w:type="paragraph" w:customStyle="1" w:styleId="s9">
    <w:name w:val="s_9"/>
    <w:basedOn w:val="a"/>
    <w:rsid w:val="00571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7185C"/>
    <w:rPr>
      <w:color w:val="0000FF"/>
      <w:u w:val="single"/>
    </w:rPr>
  </w:style>
  <w:style w:type="paragraph" w:customStyle="1" w:styleId="s1">
    <w:name w:val="s_1"/>
    <w:basedOn w:val="a"/>
    <w:rsid w:val="00571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71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9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1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40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6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51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8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1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4184/53f89421bbdaf741eb2d1ecc4ddb4c33/" TargetMode="External"/><Relationship Id="rId13" Type="http://schemas.openxmlformats.org/officeDocument/2006/relationships/hyperlink" Target="http://base.garant.ru/10900200/8c70e67a1baf4df060d06da1331e0835/" TargetMode="External"/><Relationship Id="rId18" Type="http://schemas.openxmlformats.org/officeDocument/2006/relationships/hyperlink" Target="http://base.garant.ru/10900200/8c70e67a1baf4df060d06da1331e0835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0900200/d1da35aacc37ad57144ccdc7eeb33c4f/" TargetMode="External"/><Relationship Id="rId7" Type="http://schemas.openxmlformats.org/officeDocument/2006/relationships/hyperlink" Target="http://base.garant.ru/10900200/57d7fb69cad1d16755d39d2aae86cc1c/" TargetMode="External"/><Relationship Id="rId12" Type="http://schemas.openxmlformats.org/officeDocument/2006/relationships/hyperlink" Target="http://base.garant.ru/10900200/b5433770851c5a00afd7fbf7ec7d8c96/" TargetMode="External"/><Relationship Id="rId17" Type="http://schemas.openxmlformats.org/officeDocument/2006/relationships/hyperlink" Target="http://base.garant.ru/10900200/8c70e67a1baf4df060d06da1331e0835/" TargetMode="External"/><Relationship Id="rId25" Type="http://schemas.openxmlformats.org/officeDocument/2006/relationships/hyperlink" Target="http://base.garant.ru/12126917/1cafb24d049dcd1e7707a22d98e9858f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0900200/9a67edcaa8baf0da3c0ab1a2dfcdd481/" TargetMode="External"/><Relationship Id="rId20" Type="http://schemas.openxmlformats.org/officeDocument/2006/relationships/hyperlink" Target="http://base.garant.ru/10900200/752e622936b6929dee42bef0dcb0905a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900200/7d3a0ce548ddfbcb25a372a588330aef/" TargetMode="External"/><Relationship Id="rId11" Type="http://schemas.openxmlformats.org/officeDocument/2006/relationships/hyperlink" Target="http://base.garant.ru/10900200/ec9561bc1cc4447b1920d624bcdb5435/" TargetMode="External"/><Relationship Id="rId24" Type="http://schemas.openxmlformats.org/officeDocument/2006/relationships/hyperlink" Target="http://base.garant.ru/10900200/c488244d40b55a4df4fa4e26041f383c/" TargetMode="External"/><Relationship Id="rId5" Type="http://schemas.openxmlformats.org/officeDocument/2006/relationships/hyperlink" Target="http://base.garant.ru/10900200/9a67edcaa8baf0da3c0ab1a2dfcdd481/" TargetMode="External"/><Relationship Id="rId15" Type="http://schemas.openxmlformats.org/officeDocument/2006/relationships/hyperlink" Target="http://base.garant.ru/10900200/9a67edcaa8baf0da3c0ab1a2dfcdd481/" TargetMode="External"/><Relationship Id="rId23" Type="http://schemas.openxmlformats.org/officeDocument/2006/relationships/hyperlink" Target="http://base.garant.ru/12134225/53f89421bbdaf741eb2d1ecc4ddb4c33/" TargetMode="External"/><Relationship Id="rId10" Type="http://schemas.openxmlformats.org/officeDocument/2006/relationships/hyperlink" Target="http://base.garant.ru/10900200/a5957f5b151ce69b04e14ae89e8ea654/" TargetMode="External"/><Relationship Id="rId19" Type="http://schemas.openxmlformats.org/officeDocument/2006/relationships/hyperlink" Target="http://base.garant.ru/10900200/9a67edcaa8baf0da3c0ab1a2dfcdd481/" TargetMode="External"/><Relationship Id="rId4" Type="http://schemas.openxmlformats.org/officeDocument/2006/relationships/hyperlink" Target="http://base.garant.ru/10900200/7d3a0ce548ddfbcb25a372a588330aef/" TargetMode="External"/><Relationship Id="rId9" Type="http://schemas.openxmlformats.org/officeDocument/2006/relationships/hyperlink" Target="http://base.garant.ru/10900200/c213139affad4ad79d963d93ec772aca/" TargetMode="External"/><Relationship Id="rId14" Type="http://schemas.openxmlformats.org/officeDocument/2006/relationships/hyperlink" Target="http://base.garant.ru/10900200/9a67edcaa8baf0da3c0ab1a2dfcdd481/" TargetMode="External"/><Relationship Id="rId22" Type="http://schemas.openxmlformats.org/officeDocument/2006/relationships/hyperlink" Target="http://base.garant.ru/12134184/53f89421bbdaf741eb2d1ecc4ddb4c33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1251</Words>
  <Characters>8489</Characters>
  <Application>Microsoft Office Word</Application>
  <DocSecurity>0</DocSecurity>
  <Lines>207</Lines>
  <Paragraphs>120</Paragraphs>
  <ScaleCrop>false</ScaleCrop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2020-09-15T10:45:00Z</dcterms:created>
  <dcterms:modified xsi:type="dcterms:W3CDTF">2020-09-15T10:49:00Z</dcterms:modified>
</cp:coreProperties>
</file>