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EA" w:rsidRDefault="003B40EA" w:rsidP="003B40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3B40EA" w:rsidRPr="00A87413" w:rsidRDefault="003B40EA" w:rsidP="003B40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25. Налог на прибыль организаций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</w:pPr>
      <w:r w:rsidRPr="003B40EA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Статья 255. Расходы на оплату труда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В расходы налогоплательщика на оплату труда включаются любые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К расходам на оплату труда в целях настоящей главы относятся, в частности: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1) суммы, начисленные по тарифным ставкам, должностным окладам, сдельным расценкам или в процентах от выручки в соответствии с принятыми у налогоплательщика формами и системами оплаты труда;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2) начисления стимулирующего характера, в том числе премии за производственные результаты, надбавки к тарифным ставкам и окладам за профессиональное мастерство, высокие достижения в труде и иные подобные показатели;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3) начисления стимулирующего и (или) компенсирующего характера, связанные с режимом работы и условиями труда, в том числе надбавки к тарифным ставкам и окладам за работу в ночное время, работу в многосменном режиме, за совмещение профессий, расширение зон обслуживания, за работу в тяжелых, вредных, особо вредных условиях труда, за сверхурочную работу и работу в выходные и праздничные дни, производимые в соответствии с законодательством Российской Федерации;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4) стоимость бесплатно предоставляемых работникам в соответствии с законодательством Российской Федерации коммунальных услуг, питания и продуктов, предоставляемого работникам налогоплательщика в соответствии с установленным законодательством Российской Федерации порядком бесплатного жилья (суммы денежной компенсации за </w:t>
      </w:r>
      <w:proofErr w:type="spellStart"/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непредоставление</w:t>
      </w:r>
      <w:proofErr w:type="spellEnd"/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бесплатного жилья, коммунальных и иных подобных услуг);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4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5)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расходы на приобретение (изготовление) выдаваемых в соответствии с законодательством Российской Федерации работникам бесплатно либо продаваемых работникам по пониженным ценам форменной одежды и обмундирования (в части стоимости, не компенсируемой работниками), которые остаются в личном постоянном пользовании работников. В таком же порядке учитываются расходы на приобретение или изготовление организацией форменной одежды и обуви, которые свидетельствуют о принадлежности работников к данной организации;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hyperlink r:id="rId5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6)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сумма начисленного работникам </w:t>
      </w:r>
      <w:hyperlink r:id="rId6" w:anchor="block_139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среднего заработка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, сохраняемого на время выполнения ими госу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дарственных и (или) общественных обязанностей и в других случаях, </w:t>
      </w:r>
      <w:r w:rsidRPr="003B40EA">
        <w:rPr>
          <w:rFonts w:ascii="Times New Roman" w:eastAsia="Times New Roman" w:hAnsi="Times New Roman" w:cs="Times New Roman"/>
          <w:bCs/>
          <w:lang w:eastAsia="ru-RU"/>
        </w:rPr>
        <w:t>предусмотренных </w:t>
      </w:r>
      <w:hyperlink r:id="rId7" w:anchor="block_1025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 xml:space="preserve"> Российской 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Федерации о труде;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7) расходы в виде среднего заработка, сохраняемого работникам на время отпуска, предусмотренного законодательством Российской Федерации, фактические расходы на оплату проезда работников и лиц, находящихся у этих работников на иждивении,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порядке, предусмотренном действующим законодательством - для организаций, финансируемых из соответствующих бюджетов и в порядке, предусмотренном работодателем - для иных организаций, доплата несовершеннолетним за сокращенное рабочее время, расходы на оплату перерывов в работе матерей для кормления ребенка, а также расходы на оплату времени, связанного с прохождением медицинских осмотров;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8) денежные компенсации за неиспользованный отпуск в соответствии с </w:t>
      </w:r>
      <w:hyperlink r:id="rId8" w:anchor="block_126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трудовым законодательством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Российской Федерации;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hyperlink r:id="rId9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9)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начи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сления увольняемым работникам, в том числе в связи с реорганизацией или ликвидацией налогоплательщика, сокращением численности или штата работников налогоплательщика. В целях настоящего пункта начислениями увольняемым работникам признаются, в частности, выходные пособия, производимые работодателем при прекращении трудового договора, предусмотренные трудовыми договорами и (или) отдельными соглашениями сторон трудового договора, в том числе соглашениями о расторжении трудового договора, а также коллективными договорами, соглашениями и локальными нормативными актами, содержащими нормы трудового права;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lastRenderedPageBreak/>
        <w:t>10) единовременные вознаграждения за выслугу лет (надбавки за стаж работы по специальности) в соответствии с </w:t>
      </w:r>
      <w:hyperlink r:id="rId10" w:anchor="block_1352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Российской Федерации;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11) надбавки, обусловленные районным регулированием оплаты труда, в том числе начисления по районным коэффициентам и коэффициентам за работу в тяжелых природно-климатических условиях;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11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12)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надбавки за непрерывный стаж работы в районах Крайнего Севера и приравненных к ним местностях, в районах европейского Севера и других районах с тяжелыми природно-климатическими условиями;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12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12.1)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стоимость проезда по фактическим расходам и стоимость провоза багажа из расчета не более 5 тонн на семью по фактическим расходам, но не выше тарифов, предусмотренных для перевозок железнодорожным транспортом работнику организации, расположенной в </w:t>
      </w:r>
      <w:hyperlink r:id="rId13" w:anchor="block_1000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районах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Крайнего Севера и приравненных к ним местностях (в случае отсутствия железной дороги указанные расходы принимаются в размере минимальной стоимости проезда на воздушном транспорте), и членам его семьи в случае переезда к новому месту жительства в другую местность в связи с расторжением трудового договора с работником по любым основаниям, в том числе в случае его смерти, за исключением увольнения за виновные действия;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14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13)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расходы в виде среднего заработка, сохраняемого в соответствии с </w:t>
      </w:r>
      <w:hyperlink r:id="rId15" w:anchor="block_1026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законодательством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Российской Федерации на время учебных отпусков, предоставляемых работникам налогоплательщика, а также расходы на оплату проезда к месту учебы и обратно;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14) расходы на оплату труда за время </w:t>
      </w:r>
      <w:hyperlink r:id="rId16" w:anchor="block_234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вынужденного прогула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или время выполнения нижеоплачиваемой работы в случаях, предусмотренных законодательством Российской Федерации;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15) </w:t>
      </w:r>
      <w:hyperlink r:id="rId17" w:anchor="block_243001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утратил силу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с 1 января 2010 г.;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16) суммы платежей (взносов) работодателей по договорам обязательного страхования, суммы взносов работодателей, уплачиваемых в соответствии с </w:t>
      </w:r>
      <w:hyperlink r:id="rId18" w:anchor="block_8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Федеральным законом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 xml:space="preserve"> "О дополнительных страховых взносах на накопительную пенсию и государственной поддержке формирования пенсионных накоплений", а также суммы платежей (взносов) работодателей по договорам добровольного 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страхования (договорам негосударственного пенсионного обеспечения), заключенным в пользу работников со страховыми организациями (негосударственными пенсионными фондами), имеющими лицензии, выданные в соответствии с законодательством Российской Федерации, на ведение соответствующих видов деятельности в Российской Федерации.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случаях добровольного страхования (негосударственного пенсионного обеспечения) указанные суммы относятся к расходам на оплату труда по договорам: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страхования жизни, если такие договоры заключаются на срок не менее пяти лет с российскими страховыми организациями, имеющими лицензии на ведение соответствующего вида деятельности, и в течение этих пяти лет не предусматривают страховых выплат, в том числе в виде рент и (или) аннуитетов, за исключением страховых выплат в случаях смерти и (или) причинения вреда здоровью застрахованного лица;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негосударственного пенсионного обеспечения при условии применения пенсионной схемы, предусматривающей учет пенсионных взносов на именных счетах участников негосударственных пенсионных фондов, и (или) добровольного пенсионного страхования при наступлении у участника и (или) застрахованного лица пенсионных оснований, предусмотренных законодательством Российской Федерации, дающих право на установление пенсии по государственному пенсионному обеспечению и (или) страховой пенсии, и в течение периода действия пенсионных оснований. При этом договоры негосударственного пенсионного обеспечения должны предусматривать выплату пенсий до исчерпания средств на именном счете участника, но в течение не менее пяти лет, или пожизненно, а договоры добровольного пенсионного страхования - выплату пенсий пожизненно;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добровольного личного страхования работников, заключаемым на срок не менее одного года, предусматривающим оплату страховщиками медицинских расходов застрахованных работников;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добровольного личного страхования, предусматривающим выплаты исключительно в случаях смерти и (или) </w:t>
      </w:r>
      <w:r w:rsidRPr="003B40EA">
        <w:rPr>
          <w:rFonts w:ascii="Times New Roman" w:eastAsia="Times New Roman" w:hAnsi="Times New Roman" w:cs="Times New Roman"/>
          <w:bCs/>
          <w:lang w:eastAsia="ru-RU"/>
        </w:rPr>
        <w:t>причинения вреда здоровью застрахованного лица.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Совокупная сумма взносов работодателей, уплачиваемых в соответствии с </w:t>
      </w:r>
      <w:hyperlink r:id="rId19" w:anchor="block_8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Федеральным законом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 xml:space="preserve"> "О дополнительных страховых взносах на накопительную пенсию и государственной поддержке формирования пенсионных 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накоплений", и платежей (взносов) работодателей, выплачиваемая по договорам долгосрочного страхования жизни работников, добровольного пенсионного страхования и (или) негосударственного пенсионного обеспечения работников, 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учитывается в целях налогообложения в размере, не превышающем 12 процентов от суммы расходов на оплату труда.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 внесения изменений в условия договора страхования жизни, а также договора добровольного пенсионного страхования и (или) договора негосударственного пенсионного обеспечения в отношении отдельных или всех застрахованных работников (участников), если в результате таких изменений условия договора перестают соответствовать требованиям настоящего пункта, или в случае расторжения указанных договоров в отношении отдельных или всех застрахованных работников (участников) взносы работодателя по таким договорам в отношении соответствующих работников, ранее включенные в состав расходов, признаются подлежащими налогообложению с даты внесения таких изменений в условия указанных договоров и (или) сокращения сроков действия этих договоров либо их расторжения (за исключением случаев досрочного расторжения договора в связи с обстоятельствами непреодолимой силы, то есть чрезвычайными и непредотвратимыми обстоятельствами).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Взносы по договорам добровольного личного страхования, предусматривающим оплату страховщиками медицинских расходов застрахованных работников, расходы работодателей по договорам на оказание медицинских услуг, </w:t>
      </w:r>
      <w:r w:rsidRPr="003B40EA">
        <w:rPr>
          <w:rFonts w:ascii="Times New Roman" w:eastAsia="Times New Roman" w:hAnsi="Times New Roman" w:cs="Times New Roman"/>
          <w:bCs/>
          <w:lang w:eastAsia="ru-RU"/>
        </w:rPr>
        <w:t>заключенным в пользу работников на срок не менее одного года с медицинскими организациями, имеющими соответствующие лицензии на осуществление медицинской деятельности, выданные в соответствии с законодательством Российской Федерации, и расходы, указанные в </w:t>
      </w:r>
      <w:hyperlink r:id="rId20" w:anchor="block_2582242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пункте 24.2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настоящей части, в совокупности не могут превышать 6 процентов от суммы расходов на оплату труда.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Взносы по договорам добровольного личного страхования, предусматривающим выплаты исключительно в случаях смерти и (или) причинения вреда здоровью застрахованного лица, включаются в состав расходов в размере, не превышающем 15 000 рублей в год, рассчитанном как отношение общей суммы взносов, уплачиваемых по указанным договорам, к количеству застрахованных работников.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При расчете предельных размеров платежей (взносов), исчисляемых в соответствии с настоящим подпунктом, в расходы на оплату труда не включаются суммы платежей (взносов), предусмотренные настоящим подпунктом;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 xml:space="preserve">17) суммы, начисленные в размере тарифной 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ставки или оклада (при выполнении работ вахтовым методом), предусмотренные коллективными договорами, за календарные дни нахождения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18) суммы, начисленные за выполненную работу физическим лицам, привлеченным для работы у налогоплательщика согласно специальным договорам на предоставление рабочей силы с государственными </w:t>
      </w:r>
      <w:r w:rsidRPr="003B40EA">
        <w:rPr>
          <w:rFonts w:ascii="Times New Roman" w:eastAsia="Times New Roman" w:hAnsi="Times New Roman" w:cs="Times New Roman"/>
          <w:bCs/>
          <w:lang w:eastAsia="ru-RU"/>
        </w:rPr>
        <w:t>организациями;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19) в случаях, предусмотренных законодательством Российской Федерации, начисления по основному месту работы рабочим, руководителям или специалистам налогоплательщика во время их обучения с отрывом от работы в системе повышения квалификации или переподготовки кадров;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21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20)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расходы на оплату труда работников-доноров за дни обследования, сдачи крови и отдыха, предоставляемые после каждого дня сдачи крови;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22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21)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расходы на оплату труда работников, не состоящих в штате организации-налогоплательщика, за выполнение ими работ по заключенным договорам гражданско-правового характера (включая договоры подряда), за исключением оплаты труда по договорам гражданско-правового характера, заключенным с индивидуальными предпринимателями;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hyperlink r:id="rId23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22)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 xml:space="preserve"> предусмотренные законодательством Российской Федерации начисления военнослужащим, проходящим военную службу на государственных унитарных предприятиях и в строительных организациях федеральных органов исполнительной власти, в которых законодательством Российской </w:t>
      </w: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Федерации предусмотрена военная служба, и сотрудникам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лицам, проходящим службу в войсках национальной гвардии Российской Федерации и имеющим специальные звания полиции;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23) </w:t>
      </w:r>
      <w:r w:rsidRPr="003B40EA">
        <w:rPr>
          <w:rFonts w:ascii="Times New Roman" w:eastAsia="Times New Roman" w:hAnsi="Times New Roman" w:cs="Times New Roman"/>
          <w:bCs/>
          <w:lang w:eastAsia="ru-RU"/>
        </w:rPr>
        <w:t>доплаты инвалидам, предусмотренные законодательством Российской Федерации;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hyperlink r:id="rId24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24)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расходы в виде отчислений в резерв на предстоящую оплату отпусков работникам и (или) в резерв на выплату ежегодного вознаграждения за выслугу лет и по итогам работы за год, осуществляемые в соответствии со </w:t>
      </w:r>
      <w:hyperlink r:id="rId25" w:anchor="block_3241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статьей 324.1</w:t>
        </w:r>
      </w:hyperlink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 настоящего Кодекса;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24.1) расходы на возмещение затрат работников по уплате процентов по займам (кредитам) на приобретение и (или) строительство жилого помещения. Указанные расходы для целей налогообложения признаются в размере, не превышающем 3 процентов суммы расходов на оплату труда;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24.2) расходы на оплату услуг по организации туризма, санаторно-курортного лечения и отдыха на территории Российской Федерации в соответствии с договором о реализации туристского продукта, оказанных работникам, их супругам, родителям, детям (в том числе усыновленным) в возрасте до 18 лет, подопечным в возрасте до 18 лет, а также детям (в том числе усыновленным) в возрасте до 24 лет, обучающимся по очной форме обучения в образовательных организациях, бывшим подопечным (после прекращения опеки или попечительства) в возрасте до 24 лет, обучающимся по очной форме обучения в образовательных организациях.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целях настоящего пункта услугами по организации туризма, санаторно-курортного лечения и отдыха на территории Российской Федерации признаются следующие услуги, оказанные по договору о реализации туристского продукта, заключенному работодателем с туроператором или </w:t>
      </w:r>
      <w:proofErr w:type="spellStart"/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турагентом</w:t>
      </w:r>
      <w:proofErr w:type="spellEnd"/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услуги по перевозке туриста по территории Российской Федерации воздушным, водным, автомобильным и (или) железнодорожным транспортом до пункта назначения и обратно либо по иному согласованному в договоре о реализации туристского продукта маршруту;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услуги проживания туриста в гостинице (гостиницах) или ином (иных) средстве (средствах) размещения, объекте санаторно-курортного лечения и отдыха, расположенных на территории Российской Федерации, включая услуги питания туриста, если услуги питания предоставляются в комплексе с услугами проживания в гостинице или ином средстве размещения, объекте санаторно-курортного лечения и отдыха;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услуги по санаторно-курортному обслуживанию;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>экскурсионные услуги.</w:t>
      </w:r>
    </w:p>
    <w:p w:rsidR="003B40EA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Указанные в настоящем пункте расходы учитываются в размере фактически произведенных расходов на услуги по организации </w:t>
      </w:r>
      <w:bookmarkStart w:id="0" w:name="_GoBack"/>
      <w:r w:rsidRPr="003B40EA">
        <w:rPr>
          <w:rFonts w:ascii="Times New Roman" w:eastAsia="Times New Roman" w:hAnsi="Times New Roman" w:cs="Times New Roman"/>
          <w:bCs/>
          <w:lang w:eastAsia="ru-RU"/>
        </w:rPr>
        <w:t>туризма, санаторно-курортного лечения и отдыха на территории Российской Федерации, но не более 50 000 рублей в совокупности за налоговый период на каждого из граждан, перечисленных в </w:t>
      </w:r>
      <w:hyperlink r:id="rId26" w:anchor="block_2582242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абзаце первом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настоящего пункта, и при условии выполнения требования, установленного </w:t>
      </w:r>
      <w:hyperlink r:id="rId27" w:anchor="block_2551609" w:history="1">
        <w:r w:rsidRPr="003B40EA">
          <w:rPr>
            <w:rFonts w:ascii="Times New Roman" w:eastAsia="Times New Roman" w:hAnsi="Times New Roman" w:cs="Times New Roman"/>
            <w:bCs/>
            <w:lang w:eastAsia="ru-RU"/>
          </w:rPr>
          <w:t>абзацем девятым пункта 16</w:t>
        </w:r>
      </w:hyperlink>
      <w:r w:rsidRPr="003B40EA">
        <w:rPr>
          <w:rFonts w:ascii="Times New Roman" w:eastAsia="Times New Roman" w:hAnsi="Times New Roman" w:cs="Times New Roman"/>
          <w:bCs/>
          <w:lang w:eastAsia="ru-RU"/>
        </w:rPr>
        <w:t> настоящей части;</w:t>
      </w:r>
    </w:p>
    <w:p w:rsidR="00C900B8" w:rsidRPr="003B40EA" w:rsidRDefault="003B40EA" w:rsidP="003B4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40EA">
        <w:rPr>
          <w:rFonts w:ascii="Times New Roman" w:eastAsia="Times New Roman" w:hAnsi="Times New Roman" w:cs="Times New Roman"/>
          <w:bCs/>
          <w:lang w:eastAsia="ru-RU"/>
        </w:rPr>
        <w:t>25) другие виды расходов, произведенных в пользу работника, предусмотренных трудовым договором и (или) коллективным договором.</w:t>
      </w:r>
      <w:bookmarkEnd w:id="0"/>
    </w:p>
    <w:sectPr w:rsidR="00C900B8" w:rsidRPr="003B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E8"/>
    <w:rsid w:val="003831E8"/>
    <w:rsid w:val="003B40EA"/>
    <w:rsid w:val="00C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9AE6"/>
  <w15:chartTrackingRefBased/>
  <w15:docId w15:val="{E59ABA7F-3CF9-4F51-ADE3-A9BBB1DB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B4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4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3B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B40EA"/>
  </w:style>
  <w:style w:type="paragraph" w:customStyle="1" w:styleId="s9">
    <w:name w:val="s_9"/>
    <w:basedOn w:val="a"/>
    <w:rsid w:val="003B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40EA"/>
    <w:rPr>
      <w:color w:val="0000FF"/>
      <w:u w:val="single"/>
    </w:rPr>
  </w:style>
  <w:style w:type="paragraph" w:customStyle="1" w:styleId="s1">
    <w:name w:val="s_1"/>
    <w:basedOn w:val="a"/>
    <w:rsid w:val="003B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B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B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8c635a6adbf5951fcb0f9e5ed6429908/" TargetMode="External"/><Relationship Id="rId13" Type="http://schemas.openxmlformats.org/officeDocument/2006/relationships/hyperlink" Target="http://base.garant.ru/182088/5e110786b4bc757dccdb873abba2ac3f/" TargetMode="External"/><Relationship Id="rId18" Type="http://schemas.openxmlformats.org/officeDocument/2006/relationships/hyperlink" Target="http://base.garant.ru/12160189/31de5683116b8d79b08fa2d768e33df6/" TargetMode="External"/><Relationship Id="rId26" Type="http://schemas.openxmlformats.org/officeDocument/2006/relationships/hyperlink" Target="http://base.garant.ru/10900200/b725e7ebe1a9edefbd2b44742d2c3e8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80795/" TargetMode="External"/><Relationship Id="rId7" Type="http://schemas.openxmlformats.org/officeDocument/2006/relationships/hyperlink" Target="http://base.garant.ru/12125268/2eb15671b4640f8a449b9fea2b7d89e0/" TargetMode="External"/><Relationship Id="rId12" Type="http://schemas.openxmlformats.org/officeDocument/2006/relationships/hyperlink" Target="http://base.garant.ru/12173204/" TargetMode="External"/><Relationship Id="rId17" Type="http://schemas.openxmlformats.org/officeDocument/2006/relationships/hyperlink" Target="http://base.garant.ru/12168560/7b14d2c2dfc862f67bd2c3471bf87b3f/" TargetMode="External"/><Relationship Id="rId25" Type="http://schemas.openxmlformats.org/officeDocument/2006/relationships/hyperlink" Target="http://base.garant.ru/10900200/2e0af6108be48e0dd14620525a20496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25268/1b96e31cafd99b240f05141e974122b5/" TargetMode="External"/><Relationship Id="rId20" Type="http://schemas.openxmlformats.org/officeDocument/2006/relationships/hyperlink" Target="http://base.garant.ru/10900200/b725e7ebe1a9edefbd2b44742d2c3e89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2125268/c11465d9cdd9cd41f225c2e996875142/" TargetMode="External"/><Relationship Id="rId11" Type="http://schemas.openxmlformats.org/officeDocument/2006/relationships/hyperlink" Target="http://base.garant.ru/12182788/" TargetMode="External"/><Relationship Id="rId24" Type="http://schemas.openxmlformats.org/officeDocument/2006/relationships/hyperlink" Target="http://base.garant.ru/12186831/" TargetMode="External"/><Relationship Id="rId5" Type="http://schemas.openxmlformats.org/officeDocument/2006/relationships/hyperlink" Target="http://base.garant.ru/12177444/" TargetMode="External"/><Relationship Id="rId15" Type="http://schemas.openxmlformats.org/officeDocument/2006/relationships/hyperlink" Target="http://base.garant.ru/12125268/bd6ee6809e32a63f1324b3b040115290/" TargetMode="External"/><Relationship Id="rId23" Type="http://schemas.openxmlformats.org/officeDocument/2006/relationships/hyperlink" Target="http://base.garant.ru/70141814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ase.garant.ru/12125268/531f31fc05e8518095d555dedbf7915c/" TargetMode="External"/><Relationship Id="rId19" Type="http://schemas.openxmlformats.org/officeDocument/2006/relationships/hyperlink" Target="http://base.garant.ru/12160189/31de5683116b8d79b08fa2d768e33df6/" TargetMode="External"/><Relationship Id="rId4" Type="http://schemas.openxmlformats.org/officeDocument/2006/relationships/hyperlink" Target="http://base.garant.ru/12187738/" TargetMode="External"/><Relationship Id="rId9" Type="http://schemas.openxmlformats.org/officeDocument/2006/relationships/hyperlink" Target="http://base.garant.ru/12178285/" TargetMode="External"/><Relationship Id="rId14" Type="http://schemas.openxmlformats.org/officeDocument/2006/relationships/hyperlink" Target="http://base.garant.ru/12177835/" TargetMode="External"/><Relationship Id="rId22" Type="http://schemas.openxmlformats.org/officeDocument/2006/relationships/hyperlink" Target="http://base.garant.ru/12181968/" TargetMode="External"/><Relationship Id="rId27" Type="http://schemas.openxmlformats.org/officeDocument/2006/relationships/hyperlink" Target="http://base.garant.ru/10900200/b725e7ebe1a9edefbd2b44742d2c3e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2219</Words>
  <Characters>15049</Characters>
  <Application>Microsoft Office Word</Application>
  <DocSecurity>0</DocSecurity>
  <Lines>367</Lines>
  <Paragraphs>213</Paragraphs>
  <ScaleCrop>false</ScaleCrop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2020-09-15T10:38:00Z</dcterms:created>
  <dcterms:modified xsi:type="dcterms:W3CDTF">2020-09-15T10:44:00Z</dcterms:modified>
</cp:coreProperties>
</file>