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F2" w:rsidRDefault="004177F2" w:rsidP="004177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4177F2" w:rsidRDefault="004177F2" w:rsidP="00417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2272F"/>
          <w:shd w:val="clear" w:color="auto" w:fill="FFFFFF"/>
        </w:rPr>
      </w:pPr>
      <w:r w:rsidRPr="00F565D5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23. Налог на доходы физических лиц</w:t>
      </w:r>
    </w:p>
    <w:p w:rsidR="00C900B8" w:rsidRDefault="004177F2" w:rsidP="004177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229</w:t>
      </w:r>
      <w:r w:rsidRPr="00F565D5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 xml:space="preserve">. </w:t>
      </w:r>
      <w:r w:rsidRPr="004177F2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Налоговая декларация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1. Налоговая декларация представляется налогоплательщиками, указанными в </w:t>
      </w:r>
      <w:hyperlink r:id="rId4" w:anchor="block_227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статьях 227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5" w:anchor="block_22701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227.1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6" w:anchor="block_2281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пункте 1 статьи 228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Налоговая декларация представляется не позднее 30 апреля года, следующего за истекшим </w:t>
      </w:r>
      <w:hyperlink r:id="rId7" w:anchor="block_216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налоговым периодом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, если иное не предусмотрено </w:t>
      </w:r>
      <w:hyperlink r:id="rId8" w:anchor="block_22701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статьей 227.1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2. Лица, на которых не возложена обязанность представлять </w:t>
      </w:r>
      <w:hyperlink r:id="rId9" w:anchor="block_1000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налоговую декларацию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, вправе представить такую декларацию в налоговый орган по месту жительства.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3. В случае прекращения деятельности, указанной в </w:t>
      </w:r>
      <w:hyperlink r:id="rId10" w:anchor="block_227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статье 227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Кодекса, до конца налогового периода налогоплательщики обязаны в пятидневный срок со дня прекращения такой деятельности представить налоговую декларацию о фактически полученных доходах в текущем налоговом периоде.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При прекращении в течение календарного года иностранным физическим лицом деятельности, доходы от которой подлежат налогообложению в соответствии со </w:t>
      </w:r>
      <w:hyperlink r:id="rId11" w:anchor="block_227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статьями 227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12" w:anchor="block_228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228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Кодекса, и выезде его за пределы территории Российской Федерации налоговая декларация о доходах, фактически полученных за период его пребывания в текущем налоговом периоде на территории Российской Федерации, должна быть представлена им не позднее чем за один месяц до выезда за пределы территории Российской Федерации.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 xml:space="preserve">Уплата налога, </w:t>
      </w:r>
      <w:proofErr w:type="spellStart"/>
      <w:r w:rsidRPr="004177F2">
        <w:rPr>
          <w:rFonts w:ascii="Times New Roman" w:eastAsia="Times New Roman" w:hAnsi="Times New Roman" w:cs="Times New Roman"/>
          <w:bCs/>
          <w:lang w:eastAsia="ru-RU"/>
        </w:rPr>
        <w:t>доначисленного</w:t>
      </w:r>
      <w:proofErr w:type="spellEnd"/>
      <w:r w:rsidRPr="004177F2">
        <w:rPr>
          <w:rFonts w:ascii="Times New Roman" w:eastAsia="Times New Roman" w:hAnsi="Times New Roman" w:cs="Times New Roman"/>
          <w:bCs/>
          <w:lang w:eastAsia="ru-RU"/>
        </w:rPr>
        <w:t xml:space="preserve"> по налоговым декларациям, порядок представления которых определен настоящим пунктом, производится не позднее чем через 15 календарных дней с момента подачи такой декларации.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4. В налоговых декларациях физические лица указывают все полученные ими в налоговом периоде доходы, если иное не предусмотрено настоящим пунктом, источники их выплаты, налоговые вычеты, суммы налога, удержанные налоговыми агентами, суммы фактически уплаченных в течение налогового периода авансовых платежей, суммы налога, подлежащие уплате (доплате) или возврату по итогам налогового периода.</w:t>
      </w:r>
    </w:p>
    <w:p w:rsidR="004177F2" w:rsidRPr="004177F2" w:rsidRDefault="004177F2" w:rsidP="0041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7F2">
        <w:rPr>
          <w:rFonts w:ascii="Times New Roman" w:eastAsia="Times New Roman" w:hAnsi="Times New Roman" w:cs="Times New Roman"/>
          <w:bCs/>
          <w:lang w:eastAsia="ru-RU"/>
        </w:rPr>
        <w:t>Налогоплательщики вправе не указывать в налоговой декларации доходы, не подлежащие налогообложению (освобождаемые от налогообложения) в соответствии со </w:t>
      </w:r>
      <w:hyperlink r:id="rId13" w:anchor="block_217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статьей 217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 (за исключением доходов, указанных в </w:t>
      </w:r>
      <w:hyperlink r:id="rId14" w:anchor="block_21760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пунктах 60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15" w:anchor="block_21766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66 статьи 217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настоящего Кодекса), а также доходы, при получении которых налог полностью удержан налоговыми агентами, если это не препятствует получению налогоплательщиком налоговых вычетов, предусмотренных </w:t>
      </w:r>
      <w:hyperlink r:id="rId16" w:anchor="block_218" w:history="1">
        <w:r w:rsidRPr="004177F2">
          <w:rPr>
            <w:rFonts w:ascii="Times New Roman" w:eastAsia="Times New Roman" w:hAnsi="Times New Roman" w:cs="Times New Roman"/>
            <w:bCs/>
            <w:lang w:eastAsia="ru-RU"/>
          </w:rPr>
          <w:t>статьями 218 - 221</w:t>
        </w:r>
      </w:hyperlink>
      <w:r w:rsidRPr="004177F2">
        <w:rPr>
          <w:rFonts w:ascii="Times New Roman" w:eastAsia="Times New Roman" w:hAnsi="Times New Roman" w:cs="Times New Roman"/>
          <w:bCs/>
          <w:lang w:eastAsia="ru-RU"/>
        </w:rPr>
        <w:t> на</w:t>
      </w:r>
      <w:bookmarkStart w:id="0" w:name="_GoBack"/>
      <w:bookmarkEnd w:id="0"/>
      <w:r w:rsidRPr="004177F2">
        <w:rPr>
          <w:rFonts w:ascii="Times New Roman" w:eastAsia="Times New Roman" w:hAnsi="Times New Roman" w:cs="Times New Roman"/>
          <w:bCs/>
          <w:lang w:eastAsia="ru-RU"/>
        </w:rPr>
        <w:t>стоящего Кодекса.</w:t>
      </w:r>
    </w:p>
    <w:sectPr w:rsidR="004177F2" w:rsidRPr="0041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14"/>
    <w:rsid w:val="004177F2"/>
    <w:rsid w:val="00577714"/>
    <w:rsid w:val="00C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8DF1"/>
  <w15:chartTrackingRefBased/>
  <w15:docId w15:val="{41341C9B-8632-4148-A00F-3CBCAFC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1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77F2"/>
    <w:rPr>
      <w:color w:val="0000FF"/>
      <w:u w:val="single"/>
    </w:rPr>
  </w:style>
  <w:style w:type="paragraph" w:customStyle="1" w:styleId="s22">
    <w:name w:val="s_22"/>
    <w:basedOn w:val="a"/>
    <w:rsid w:val="0041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db7e2a5b27b24b21243595c9750b1ffd/" TargetMode="External"/><Relationship Id="rId13" Type="http://schemas.openxmlformats.org/officeDocument/2006/relationships/hyperlink" Target="http://base.garant.ru/10900200/4132834011083186a07350b1579a99a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900200/5238b92273675adfd991e702ca69ad4c/" TargetMode="External"/><Relationship Id="rId12" Type="http://schemas.openxmlformats.org/officeDocument/2006/relationships/hyperlink" Target="http://base.garant.ru/10900200/e105bca11c9907fc3c0b2c78485b46b1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10900200/1458a0a55ea2ab5e42fde990265bcdf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900200/e105bca11c9907fc3c0b2c78485b46b1/" TargetMode="External"/><Relationship Id="rId11" Type="http://schemas.openxmlformats.org/officeDocument/2006/relationships/hyperlink" Target="http://base.garant.ru/10900200/547f2ff61c70801cbfccfc47eae5ced7/" TargetMode="External"/><Relationship Id="rId5" Type="http://schemas.openxmlformats.org/officeDocument/2006/relationships/hyperlink" Target="http://base.garant.ru/10900200/db7e2a5b27b24b21243595c9750b1ffd/" TargetMode="External"/><Relationship Id="rId15" Type="http://schemas.openxmlformats.org/officeDocument/2006/relationships/hyperlink" Target="http://base.garant.ru/10900200/4132834011083186a07350b1579a99a1/" TargetMode="External"/><Relationship Id="rId10" Type="http://schemas.openxmlformats.org/officeDocument/2006/relationships/hyperlink" Target="http://base.garant.ru/10900200/547f2ff61c70801cbfccfc47eae5ced7/" TargetMode="External"/><Relationship Id="rId4" Type="http://schemas.openxmlformats.org/officeDocument/2006/relationships/hyperlink" Target="http://base.garant.ru/10900200/547f2ff61c70801cbfccfc47eae5ced7/" TargetMode="External"/><Relationship Id="rId9" Type="http://schemas.openxmlformats.org/officeDocument/2006/relationships/hyperlink" Target="http://base.garant.ru/72079874/53f89421bbdaf741eb2d1ecc4ddb4c33/" TargetMode="External"/><Relationship Id="rId14" Type="http://schemas.openxmlformats.org/officeDocument/2006/relationships/hyperlink" Target="http://base.garant.ru/10900200/4132834011083186a07350b1579a99a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3185</Characters>
  <Application>Microsoft Office Word</Application>
  <DocSecurity>0</DocSecurity>
  <Lines>77</Lines>
  <Paragraphs>45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2020-09-15T12:08:00Z</dcterms:created>
  <dcterms:modified xsi:type="dcterms:W3CDTF">2020-09-15T12:10:00Z</dcterms:modified>
</cp:coreProperties>
</file>