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D5" w:rsidRDefault="00F565D5" w:rsidP="00F565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F565D5" w:rsidRDefault="00F565D5" w:rsidP="00F565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2272F"/>
          <w:shd w:val="clear" w:color="auto" w:fill="FFFFFF"/>
        </w:rPr>
      </w:pPr>
      <w:r w:rsidRPr="00F565D5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23. Налог на доходы физических лиц</w:t>
      </w:r>
    </w:p>
    <w:p w:rsidR="00C900B8" w:rsidRDefault="00F565D5" w:rsidP="00F565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</w:pPr>
      <w:r w:rsidRPr="00F565D5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Статья 224. Налоговые ставки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4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1.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Налоговая ставка устанавливается в размере 13 процентов, если иное не предусмотрено настоящей статьей.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5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2.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Налоговая ставка устанавливается в размере 35 процентов в отношении следующих доходов: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Абзац второй </w:t>
      </w:r>
      <w:hyperlink r:id="rId6" w:anchor="block_1045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исключен.</w:t>
        </w:r>
      </w:hyperlink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 </w:t>
      </w:r>
      <w:hyperlink r:id="rId7" w:anchor="block_21728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пункте 28 статьи 217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настоящего Кодекса;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абзац четвертый </w:t>
      </w:r>
      <w:hyperlink r:id="rId8" w:anchor="block_1141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утратил силу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процентных доходов по вкладам в банках, находящихся на территории Российской Федерации, доходов в виде процента (купона) по обращающимся облигациям российских организаций, номинированным в рублях, налоговая база по которым определяется в соответствии со </w:t>
      </w:r>
      <w:hyperlink r:id="rId9" w:anchor="block_21402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статьей 214.2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настоящего Кодекса;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суммы экономии на процентах при получении налогоплательщиками заемных (кредитных) средств в части превышения размеров, указанных в </w:t>
      </w:r>
      <w:hyperlink r:id="rId10" w:anchor="block_21202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пункте 2 статьи 212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настоящего Кодекса;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доходов в виде платы за использование денежных средств членов кредитного потребительского кооператива (пайщиков), а также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</w:t>
      </w:r>
      <w:bookmarkStart w:id="0" w:name="_GoBack"/>
      <w:bookmarkEnd w:id="0"/>
      <w:r w:rsidRPr="00F565D5">
        <w:rPr>
          <w:rFonts w:ascii="Times New Roman" w:eastAsia="Times New Roman" w:hAnsi="Times New Roman" w:cs="Times New Roman"/>
          <w:bCs/>
          <w:lang w:eastAsia="ru-RU"/>
        </w:rPr>
        <w:t>ленов сельскохозяйственного кредитного потребительского кооператива, налоговая база по которым определяется в соответствии со </w:t>
      </w:r>
      <w:hyperlink r:id="rId11" w:anchor="block_21421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статьей 214.2.1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3. Налоговая ставка устанавливается в размере 30 процентов в отношении всех доходов, получаемых физическими лицами, не являющимися </w:t>
      </w:r>
      <w:hyperlink r:id="rId12" w:anchor="block_20702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налоговыми резидентами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Российской Федерации, за исключением доходов, получаемых: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в виде дивидендов от долевого участия в деятельности российских организаций, в отношении которых налоговая ставка устанавливается в размере 15 процентов;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от осуществления трудовой деятельности, указанной в </w:t>
      </w:r>
      <w:hyperlink r:id="rId13" w:anchor="block_22701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статье 227.1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настоящего Кодекса, в отношении которых налоговая ставка устанавливается в размере 13 процентов;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от осуществления трудовой деятельности в качестве высококвалифицированного специалиста в соответствии с </w:t>
      </w:r>
      <w:hyperlink r:id="rId14" w:anchor="block_1302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Федеральным законом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от 25 июля 2002 года N 115-ФЗ "О правовом положении иностранных граждан в Российской Федерации", в отношении которых налоговая ставка устанавливается в размере 13 процентов;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от осуществления трудовой деятельности </w:t>
      </w:r>
      <w:r w:rsidRPr="00F565D5">
        <w:rPr>
          <w:rFonts w:ascii="Times New Roman" w:eastAsia="Times New Roman" w:hAnsi="Times New Roman" w:cs="Times New Roman"/>
          <w:bCs/>
          <w:lang w:eastAsia="ru-RU"/>
        </w:rPr>
        <w:t>участниками </w:t>
      </w:r>
      <w:hyperlink r:id="rId15" w:anchor="block_1000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Государственной программы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по оказанию содействия добровольному переселению в Российскую Федерацию соотечественников, проживающих за рубежом, а также членами их семей, совместно переселившимися на постоянное место жительства в Российскую Федерацию, в отношении которых налоговая ставка устанавливается в размере 13 процентов;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от исполнения трудовых обязанностей членами экипажей судов, плавающих под Государственным флагом Российской Федерации, в отношении которых налоговая ставка устанавливается в размере 13 процентов;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от осуществления трудовой деятельности иностранными гражданами или лицами без гражданства, признанными беженцами или получившими временное убежище на территории Российской Федерации в соответствии с </w:t>
      </w:r>
      <w:hyperlink r:id="rId16" w:anchor="block_3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Федеральным законом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"О беженцах", в отношении которых налоговая ставка устанавливается в размере 13 процентов;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 xml:space="preserve">в виде дивидендов по акциям (долям) международных холдинговых компаний, которые являются публичными компаниями на день принятия решения такой компании о выплате дивидендов, в отношении которых налоговая ставка устанавливается в размере 5 процентов. Налоговая ставка, указанная в настоящем абзаце, применяется по доходам, полученным до 1 января 2029 года, и при условии, что иностранные организации, в порядке </w:t>
      </w:r>
      <w:proofErr w:type="spellStart"/>
      <w:r w:rsidRPr="00F565D5">
        <w:rPr>
          <w:rFonts w:ascii="Times New Roman" w:eastAsia="Times New Roman" w:hAnsi="Times New Roman" w:cs="Times New Roman"/>
          <w:bCs/>
          <w:lang w:eastAsia="ru-RU"/>
        </w:rPr>
        <w:t>редомициляции</w:t>
      </w:r>
      <w:proofErr w:type="spellEnd"/>
      <w:r w:rsidRPr="00F565D5">
        <w:rPr>
          <w:rFonts w:ascii="Times New Roman" w:eastAsia="Times New Roman" w:hAnsi="Times New Roman" w:cs="Times New Roman"/>
          <w:bCs/>
          <w:lang w:eastAsia="ru-RU"/>
        </w:rPr>
        <w:t xml:space="preserve"> которых зарегистрированы такие компании, являлись публичными компаниями по состоянию на 1 января 2018 года.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>4. </w:t>
      </w:r>
      <w:hyperlink r:id="rId17" w:anchor="block_160" w:history="1">
        <w:r w:rsidRPr="00F565D5">
          <w:rPr>
            <w:rFonts w:ascii="Times New Roman" w:eastAsia="Times New Roman" w:hAnsi="Times New Roman" w:cs="Times New Roman"/>
            <w:bCs/>
            <w:lang w:eastAsia="ru-RU"/>
          </w:rPr>
          <w:t>Утратил силу</w:t>
        </w:r>
      </w:hyperlink>
      <w:r w:rsidRPr="00F565D5">
        <w:rPr>
          <w:rFonts w:ascii="Times New Roman" w:eastAsia="Times New Roman" w:hAnsi="Times New Roman" w:cs="Times New Roman"/>
          <w:bCs/>
          <w:lang w:eastAsia="ru-RU"/>
        </w:rPr>
        <w:t> с 1 января 2015 г.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lang w:eastAsia="ru-RU"/>
        </w:rPr>
        <w:t xml:space="preserve">5. Налоговая ставка устанавливается в размере 9 </w:t>
      </w:r>
      <w:r w:rsidRPr="00F565D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процентов в отношении доходов в виде процентов по облигациям с ипотечным покрытием, эмитированным до 1 января 2007 года, а также </w:t>
      </w:r>
      <w:r w:rsidRPr="00F565D5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по доходам учредителей доверительного управления ипотечным покрытием, полученным на основании приобретения ипотечных сертификатов участия, выданных управляющим ипотечным покрытием до 1 января 2007 года.</w:t>
      </w:r>
    </w:p>
    <w:p w:rsidR="00F565D5" w:rsidRPr="00F565D5" w:rsidRDefault="00F565D5" w:rsidP="00F56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65D5">
        <w:rPr>
          <w:rFonts w:ascii="Times New Roman" w:eastAsia="Times New Roman" w:hAnsi="Times New Roman" w:cs="Times New Roman"/>
          <w:bCs/>
          <w:color w:val="000000"/>
          <w:lang w:eastAsia="ru-RU"/>
        </w:rPr>
        <w:t>6. Налоговая ставка устанавливается в размере 30 процентов в отношении доходов по ценным бумагам (за исключением доходов в виде дивидендов), выпущенным российскими организациями, права по которым учитываются на счете депо иностранного номинального держателя, счете депо иностранного уполномоченного держателя и (или) счете депо депозитарных программ, выплачиваемых лицам, информация о которых не была предоставлена налоговому агенту в соответствии с требованиями </w:t>
      </w:r>
      <w:hyperlink r:id="rId18" w:anchor="block_2146" w:history="1">
        <w:r w:rsidRPr="00F565D5">
          <w:rPr>
            <w:rFonts w:ascii="Times New Roman" w:eastAsia="Times New Roman" w:hAnsi="Times New Roman" w:cs="Times New Roman"/>
            <w:bCs/>
            <w:color w:val="000000"/>
            <w:lang w:eastAsia="ru-RU"/>
          </w:rPr>
          <w:t>статьи 214.6</w:t>
        </w:r>
      </w:hyperlink>
      <w:r w:rsidRPr="00F565D5">
        <w:rPr>
          <w:rFonts w:ascii="Times New Roman" w:eastAsia="Times New Roman" w:hAnsi="Times New Roman" w:cs="Times New Roman"/>
          <w:bCs/>
          <w:color w:val="000000"/>
          <w:lang w:eastAsia="ru-RU"/>
        </w:rPr>
        <w:t> настоящего Кодекса.</w:t>
      </w:r>
    </w:p>
    <w:sectPr w:rsidR="00F565D5" w:rsidRPr="00F5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6B"/>
    <w:rsid w:val="00C900B8"/>
    <w:rsid w:val="00EC116B"/>
    <w:rsid w:val="00F5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0E02"/>
  <w15:chartTrackingRefBased/>
  <w15:docId w15:val="{6F508EFD-B656-43FB-96AD-2663403C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D5"/>
  </w:style>
  <w:style w:type="paragraph" w:styleId="4">
    <w:name w:val="heading 4"/>
    <w:basedOn w:val="a"/>
    <w:link w:val="40"/>
    <w:uiPriority w:val="9"/>
    <w:qFormat/>
    <w:rsid w:val="00F56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565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5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65D5"/>
    <w:rPr>
      <w:color w:val="0000FF"/>
      <w:u w:val="single"/>
    </w:rPr>
  </w:style>
  <w:style w:type="paragraph" w:customStyle="1" w:styleId="s22">
    <w:name w:val="s_22"/>
    <w:basedOn w:val="a"/>
    <w:rsid w:val="00F5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5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80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4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4837/1cafb24d049dcd1e7707a22d98e9858f/" TargetMode="External"/><Relationship Id="rId13" Type="http://schemas.openxmlformats.org/officeDocument/2006/relationships/hyperlink" Target="http://base.garant.ru/10900200/db7e2a5b27b24b21243595c9750b1ffd/" TargetMode="External"/><Relationship Id="rId18" Type="http://schemas.openxmlformats.org/officeDocument/2006/relationships/hyperlink" Target="http://base.garant.ru/10900200/0ae1d3e46ce838aa89b1e8dfbe835dd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900200/4132834011083186a07350b1579a99a1/" TargetMode="External"/><Relationship Id="rId12" Type="http://schemas.openxmlformats.org/officeDocument/2006/relationships/hyperlink" Target="http://base.garant.ru/10900200/e4228a58ee428efc683b7a6fe69786e4/" TargetMode="External"/><Relationship Id="rId17" Type="http://schemas.openxmlformats.org/officeDocument/2006/relationships/hyperlink" Target="http://base.garant.ru/70804234/1cafb24d049dcd1e7707a22d98e9858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0105682/5ac206a89ea76855804609cd950fcaf7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2126917/1cafb24d049dcd1e7707a22d98e9858f/" TargetMode="External"/><Relationship Id="rId11" Type="http://schemas.openxmlformats.org/officeDocument/2006/relationships/hyperlink" Target="http://base.garant.ru/10900200/e0f30f5876c58073c65d77add575840c/" TargetMode="External"/><Relationship Id="rId5" Type="http://schemas.openxmlformats.org/officeDocument/2006/relationships/hyperlink" Target="http://base.garant.ru/12168050/" TargetMode="External"/><Relationship Id="rId15" Type="http://schemas.openxmlformats.org/officeDocument/2006/relationships/hyperlink" Target="http://base.garant.ru/189653/916872958695c3f0d99d0244e5906ab3/" TargetMode="External"/><Relationship Id="rId10" Type="http://schemas.openxmlformats.org/officeDocument/2006/relationships/hyperlink" Target="http://base.garant.ru/10900200/da762a68a9574b563d3f79bbbf5a8070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base.garant.ru/12165499/" TargetMode="External"/><Relationship Id="rId9" Type="http://schemas.openxmlformats.org/officeDocument/2006/relationships/hyperlink" Target="http://base.garant.ru/10900200/86f417dec6f372aecbed9844f03b6825/" TargetMode="External"/><Relationship Id="rId14" Type="http://schemas.openxmlformats.org/officeDocument/2006/relationships/hyperlink" Target="http://base.garant.ru/184755/7cb9e0279cd84d282026d8d6345390d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5239</Characters>
  <Application>Microsoft Office Word</Application>
  <DocSecurity>0</DocSecurity>
  <Lines>127</Lines>
  <Paragraphs>74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2020-09-15T11:54:00Z</dcterms:created>
  <dcterms:modified xsi:type="dcterms:W3CDTF">2020-09-15T11:59:00Z</dcterms:modified>
</cp:coreProperties>
</file>